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17"/>
        <w:gridCol w:w="5025"/>
      </w:tblGrid>
      <w:tr w:rsidR="0029415C" w:rsidRPr="0029415C" w14:paraId="5BFC787C" w14:textId="77777777" w:rsidTr="0029415C">
        <w:trPr>
          <w:trHeight w:val="543"/>
        </w:trPr>
        <w:tc>
          <w:tcPr>
            <w:tcW w:w="1117" w:type="dxa"/>
          </w:tcPr>
          <w:p w14:paraId="2831EA11" w14:textId="77777777" w:rsidR="0029415C" w:rsidRP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14:paraId="1DED67B8" w14:textId="77777777" w:rsidR="0029415C" w:rsidRP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9415C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 </w:t>
            </w:r>
          </w:p>
          <w:p w14:paraId="37B0B3A5" w14:textId="77777777" w:rsidR="0029415C" w:rsidRP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025" w:type="dxa"/>
          </w:tcPr>
          <w:p w14:paraId="10E88474" w14:textId="77777777" w:rsidR="0029415C" w:rsidRPr="0029415C" w:rsidRDefault="0029415C" w:rsidP="002941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hr-HR"/>
              </w:rPr>
            </w:pPr>
            <w:r w:rsidRPr="002941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1F6A0EB" wp14:editId="7D884AE8">
                  <wp:extent cx="495300" cy="6572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E22DE" w14:textId="77777777" w:rsidR="0029415C" w:rsidRP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r-HR"/>
              </w:rPr>
            </w:pPr>
          </w:p>
        </w:tc>
      </w:tr>
      <w:tr w:rsidR="0029415C" w:rsidRPr="0029415C" w14:paraId="1A22C723" w14:textId="77777777" w:rsidTr="0029415C">
        <w:trPr>
          <w:trHeight w:val="1490"/>
        </w:trPr>
        <w:tc>
          <w:tcPr>
            <w:tcW w:w="1117" w:type="dxa"/>
          </w:tcPr>
          <w:p w14:paraId="7FA72514" w14:textId="77777777" w:rsid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94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0AEA9ED" wp14:editId="77B9EED7">
                  <wp:extent cx="4953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67005" w14:textId="77777777" w:rsidR="0029415C" w:rsidRPr="0029415C" w:rsidRDefault="0029415C" w:rsidP="0029415C">
            <w:pPr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14:paraId="0B443E1F" w14:textId="77777777" w:rsidR="0029415C" w:rsidRDefault="0029415C" w:rsidP="0029415C">
            <w:pPr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14:paraId="540FD79E" w14:textId="77777777" w:rsidR="0029415C" w:rsidRPr="0029415C" w:rsidRDefault="0029415C" w:rsidP="0029415C">
            <w:pPr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     </w:t>
            </w:r>
          </w:p>
        </w:tc>
        <w:tc>
          <w:tcPr>
            <w:tcW w:w="5025" w:type="dxa"/>
          </w:tcPr>
          <w:p w14:paraId="7ECFB69D" w14:textId="77777777" w:rsidR="0029415C" w:rsidRPr="0029415C" w:rsidRDefault="0029415C" w:rsidP="002941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9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  <w:p w14:paraId="019DACA9" w14:textId="77777777" w:rsidR="0029415C" w:rsidRPr="0029415C" w:rsidRDefault="0029415C" w:rsidP="002941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941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BJELOVARSKO-BILOGORSKA ŽUPANIJA</w:t>
            </w:r>
          </w:p>
          <w:p w14:paraId="18F57A2E" w14:textId="77777777" w:rsidR="0029415C" w:rsidRPr="0029415C" w:rsidRDefault="0029415C" w:rsidP="002941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9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 ČAZMA</w:t>
            </w:r>
          </w:p>
          <w:p w14:paraId="1C5D05B0" w14:textId="77777777" w:rsidR="0029415C" w:rsidRDefault="0029415C" w:rsidP="002941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941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GRADSKO VIJEĆE</w:t>
            </w:r>
          </w:p>
          <w:p w14:paraId="37B00126" w14:textId="77777777" w:rsidR="0029415C" w:rsidRP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28E695" w14:textId="77777777" w:rsidR="0029415C" w:rsidRPr="0029415C" w:rsidRDefault="0029415C" w:rsidP="0029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33E377F" w14:textId="77777777" w:rsidR="00424253" w:rsidRPr="0029415C" w:rsidRDefault="00424253">
      <w:pPr>
        <w:rPr>
          <w:b/>
          <w:sz w:val="32"/>
          <w:szCs w:val="32"/>
        </w:rPr>
      </w:pPr>
    </w:p>
    <w:p w14:paraId="44E3DC4D" w14:textId="77777777" w:rsidR="0029415C" w:rsidRDefault="0029415C"/>
    <w:p w14:paraId="748755A7" w14:textId="77777777" w:rsidR="0029415C" w:rsidRDefault="0029415C"/>
    <w:p w14:paraId="06EDE627" w14:textId="77777777" w:rsidR="0029415C" w:rsidRDefault="0029415C"/>
    <w:p w14:paraId="6FA30AA8" w14:textId="77777777" w:rsidR="0029415C" w:rsidRDefault="0029415C"/>
    <w:p w14:paraId="5CDCBA7A" w14:textId="77777777" w:rsidR="0029415C" w:rsidRDefault="0029415C"/>
    <w:p w14:paraId="1AEAC672" w14:textId="77777777" w:rsidR="0029415C" w:rsidRDefault="0029415C"/>
    <w:p w14:paraId="3BCBBB03" w14:textId="77777777" w:rsidR="00D63D73" w:rsidRDefault="00D63D73" w:rsidP="0029415C">
      <w:pPr>
        <w:spacing w:after="0" w:line="240" w:lineRule="auto"/>
      </w:pPr>
    </w:p>
    <w:p w14:paraId="11D23364" w14:textId="2C14F53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Zakona o proračunu ( N.N. br. 87/08, 136/12 i 15/15) i članka 31. Statuta grada Čazme ( Sl</w:t>
      </w:r>
      <w:r w:rsidR="00364F54">
        <w:rPr>
          <w:rFonts w:ascii="Times New Roman" w:eastAsia="Times New Roman" w:hAnsi="Times New Roman" w:cs="Times New Roman"/>
          <w:sz w:val="24"/>
          <w:szCs w:val="24"/>
          <w:lang w:eastAsia="hr-HR"/>
        </w:rPr>
        <w:t>užbeni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vjesnik Grada Čazme b</w:t>
      </w:r>
      <w:r w:rsidR="00364F5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20/09</w:t>
      </w:r>
      <w:r w:rsidR="00364F54">
        <w:rPr>
          <w:rFonts w:ascii="Times New Roman" w:eastAsia="Times New Roman" w:hAnsi="Times New Roman" w:cs="Times New Roman"/>
          <w:sz w:val="24"/>
          <w:szCs w:val="24"/>
          <w:lang w:eastAsia="hr-HR"/>
        </w:rPr>
        <w:t>,17/13 i 7/18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Gradsko vijeće Grada Čazme na</w:t>
      </w:r>
      <w:r w:rsidR="001F7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</w:t>
      </w:r>
      <w:r w:rsid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1F7942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="0089337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10DE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933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godine, donijelo je</w:t>
      </w:r>
    </w:p>
    <w:p w14:paraId="480A39E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B2934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8A023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143415F1" w14:textId="169CD546" w:rsid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izvršenju Proračuna Grada Čazme za 20</w:t>
      </w:r>
      <w:r w:rsidR="00D63D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10D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2941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2D3A6D03" w14:textId="77777777" w:rsidR="00D63D73" w:rsidRPr="0029415C" w:rsidRDefault="00D63D73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4C7E2" w14:textId="77777777" w:rsidR="0029415C" w:rsidRPr="00D63D73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2500FE" w14:textId="77777777" w:rsidR="0029415C" w:rsidRPr="00D63D73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D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 OPĆE ODREDBE</w:t>
      </w:r>
    </w:p>
    <w:p w14:paraId="12A3EC97" w14:textId="77777777" w:rsidR="0029415C" w:rsidRPr="00D63D73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B807F1" w14:textId="77777777" w:rsidR="0029415C" w:rsidRPr="00D63D73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D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0156D08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4CCDD" w14:textId="77777777" w:rsidR="0029415C" w:rsidRPr="0029415C" w:rsidRDefault="0029415C" w:rsidP="0029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određuje način izvršenja Proračuna Grada Čazme za 20</w:t>
      </w:r>
      <w:r w:rsidR="00983C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 u daljnjem tekstu: Proračun ), upravljanje prihodima – primicima, rashodima – izdacima Proračuna, te propisuju prava i obveze korisnika proračunskih sredstava.</w:t>
      </w:r>
    </w:p>
    <w:p w14:paraId="3033DEA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07DA3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3510AF91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5C2C2BA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2DD84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 izvršenju Proračuna primjenjuju se odredbe Zakona o proračunu i Zakona o financiranju jedinica lokalne i područne (regionalne) samouprave.</w:t>
      </w:r>
    </w:p>
    <w:p w14:paraId="0E48C781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A5C55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4F2C3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CF1DA11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76CA2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Proračuna o odobrenim sredstvima bit će obaviješteni putem «Službenog vjesnika» Grada Čazme.</w:t>
      </w:r>
    </w:p>
    <w:p w14:paraId="101F4E02" w14:textId="77777777" w:rsid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05D53" w14:textId="77777777" w:rsid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8EE47" w14:textId="77777777" w:rsid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A9EB50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5BB54DE1" w14:textId="77777777" w:rsidR="00DA4496" w:rsidRDefault="00DA4496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98734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 se sastoji od općeg i posebnog dijela. Opći dio Proračuna se sastoji od računa prihoda i rashoda i računa financiranja.</w:t>
      </w:r>
    </w:p>
    <w:p w14:paraId="3244C742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Posebni dio Proračuna se sastoji od plana rashoda i izdataka proračunskih korisnika raspoređenih u tekuće i razvojne programe za tekuću proračunsku godinu prema organizacijskoj i funkcionalnoj klasifikaciji.</w:t>
      </w:r>
    </w:p>
    <w:p w14:paraId="139D020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2775F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A21EC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42D3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18809C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II  IZVRŠENJE PRORAČUNA</w:t>
      </w:r>
    </w:p>
    <w:p w14:paraId="2AEAD20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7669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7ED8D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79E0F843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10B7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u Proračunu se osiguravaju proračunskim korisnicima koji su u njegovom Posebnom dijelu određeni za nositelje razdjela.</w:t>
      </w:r>
    </w:p>
    <w:p w14:paraId="2B41A814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Proračuna smiju se koristiti samo za namjene utvrđene posebnim zakonima i odlukama Grada Čazme u visini sredstava određenih Proračunom.</w:t>
      </w:r>
    </w:p>
    <w:p w14:paraId="10D9C48F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66BC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70A1BB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46F95BE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66B2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Proračuna smiju preuzimati obveze najviše do visine sredstava osiguranih u Posebnom dijelu Proračuna, ako je njihovo izvršavanje usklađeno s mjesečnom proračunskom dodjelom.</w:t>
      </w:r>
    </w:p>
    <w:p w14:paraId="13899BA6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 Proračuna doznačuje se mjesečni iznos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zahtjevu,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stvarno izvršenih obveza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Upravni odjel za proračun i komunalno gospodarstvo Grada Čazme (u nastavku: upravni odjel za proračun) usklađuje zahtjeve iz mjesečnih financijskih planova s planom likvidnosti Proračuna.</w:t>
      </w:r>
    </w:p>
    <w:p w14:paraId="2124F909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proračun izvršava mjesečne dodjele sredstava po korisnicima i rashodima – izdacima u skladu s raspoloživim sredstvima.</w:t>
      </w:r>
    </w:p>
    <w:p w14:paraId="22729DEC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Razlika između odobrenih i iskorištenih dodjela rasporedit će se u slijedećem obračunskom razdoblju, ovisno o raspoloživim  sredstvima do kraja godine.</w:t>
      </w:r>
    </w:p>
    <w:p w14:paraId="22211D6F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Viškovi sredstava korisnika Proračuna po godišnjem obračunu moraju se vratiti u Proračun, osim ako Gradonačelnik Grada Čazme ne zaključi drugačije.</w:t>
      </w:r>
    </w:p>
    <w:p w14:paraId="6B72F5BA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9C89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06761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5DAA9BA6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21DF9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prihodi – primici Proračuna ne naplaćuju u planiranim svotama i planiranoj dinamici tijekom godine, prednost u podmirivanju rashoda Proračuna imaju rashodi – izdaci za redovnu djelatnost Grada Čazme.</w:t>
      </w:r>
    </w:p>
    <w:p w14:paraId="38E4BE29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00988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A69B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95897C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84041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5A7CD" w14:textId="77777777" w:rsid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32110" w14:textId="77777777" w:rsidR="00D63D73" w:rsidRDefault="00D63D73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E8487D" w14:textId="77777777" w:rsidR="00D63D73" w:rsidRDefault="00D63D73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1CFFC" w14:textId="77777777" w:rsidR="00D63D73" w:rsidRDefault="00D63D73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04B1AB" w14:textId="77777777" w:rsidR="00D63D73" w:rsidRPr="0029415C" w:rsidRDefault="00D63D73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20ACAA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8CC16F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5AAB3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tijekom godine dođe do neusklađenosti planiranih prihoda – primitaka i rashoda – izdataka Proračuna predložit će se Gradskom vijeću Grada Čazme (u nastavku: Gradsko vijeće) donošenje izmjena i dopuna Proračuna.</w:t>
      </w:r>
    </w:p>
    <w:p w14:paraId="33D253AB" w14:textId="77777777" w:rsidR="008F6705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može odobriti preraspodjelu sredstava unutar pojedinog razdjela s tim da umanjenje pojedina stavke ne može biti veće od 5%.</w:t>
      </w:r>
    </w:p>
    <w:p w14:paraId="26E09B44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 izvršenoj preraspodjeli iz prethodnog stavka Gradonačelnik je obvezan  izvijestiti Gradsko vijeće na prvoj sjednici.</w:t>
      </w:r>
    </w:p>
    <w:p w14:paraId="11B158DF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Neplanirane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uplaćene donacije mogu se koristiti prema naknadno utvrđenim aktivnostima i projektima uz prethodnu suglasnost Gradonačelnika.</w:t>
      </w:r>
    </w:p>
    <w:p w14:paraId="5BAB1C55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6AC0FE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AC17D" w14:textId="77777777" w:rsid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5DC3DC" w14:textId="77777777" w:rsidR="00DA4496" w:rsidRPr="0029415C" w:rsidRDefault="00DA4496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F94AF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aktivnosti i projekti za koje su sredstva osigurana u Proračunu tekuće godine nisu izvršeni do visine utvrđene u Proračunu, mogu se u toj visini izvršavati u slijedećoj godini, s tim da se u prvim izmjenama i dopunama Proračuna izvrše dopune aktivnosti i projekata.</w:t>
      </w:r>
    </w:p>
    <w:p w14:paraId="7467B52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E2A48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8E924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A4F3E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CC480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izvršavanje Proračuna u cijelosti je odgovoran Gradonačelnik.</w:t>
      </w:r>
    </w:p>
    <w:p w14:paraId="7C7B1A18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Naredbodavac za izvršenje Proračuna u cijelosti je Gradonačelnik.</w:t>
      </w:r>
    </w:p>
    <w:p w14:paraId="19A50262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upravnih odjela i stručne službe odgovorni su kao predlagatelji izvršenja za zakonitu uporabu raspoređenih sredstava po razdjelima.</w:t>
      </w:r>
    </w:p>
    <w:p w14:paraId="6A592039" w14:textId="77777777" w:rsidR="00DA4496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svog djelokruga nositelji razdjela, pročelnici upravnih odjela i stručne službe, te korisnici proračunskih sredstava koji su kao takovi navedeni u Posebnom dijelu Proračuna odgovorni su za razrez prihoda i izvršavanje rashoda – izdataka u njihovim razdjelima.</w:t>
      </w:r>
    </w:p>
    <w:p w14:paraId="78361481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Pozicije u Proračunu koje nisu razrađene izvršavat će se temeljem Odluke Gradonačelnika. Ukoliko iznos pozicije prelazi 0,5% prihoda Proračuna prethodne godine bez primitaka izvršavat će se temeljem Odluke Gradskog vijeća.</w:t>
      </w:r>
    </w:p>
    <w:p w14:paraId="4DBD84FC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39594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E4D64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DBF4A1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4B5B5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Slobodnim novčanim sredstvima na računu Proračuna upravlja Gradonačelnik do visine 0,5% prihoda Proračuna prethodne godine bez primitaka.</w:t>
      </w:r>
    </w:p>
    <w:p w14:paraId="04FBA5D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5EEB7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3B280" w14:textId="77777777" w:rsidR="0029415C" w:rsidRPr="0029415C" w:rsidRDefault="0029415C" w:rsidP="00CC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Članak 1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93D866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1C3A8" w14:textId="77777777" w:rsidR="008F6705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zaduživanju Grada za kapitalne projekte obnove i razvitka koji se financiraju iz Proračuna Grada Čazme donosi Gradsko vijeće prema uvjetima i do visine utvrđene Zakonom o proračunu</w:t>
      </w:r>
      <w:r w:rsidR="008F67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Zakonom o lokalnoj i područnoj (regionalnoj) samoupravi.</w:t>
      </w:r>
    </w:p>
    <w:p w14:paraId="6C1BCE95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Trgovačka društva u vlasništvu Grada Čazme i ustanove koje je osnovao Grad Čazma ne mogu se zaduživati (osim kratkoročno radi otklanjanja nelikvidnosti) bez suglasnosti Gradonačelnika.</w:t>
      </w:r>
    </w:p>
    <w:p w14:paraId="01D12012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8026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19F55" w14:textId="77777777" w:rsidR="008F6705" w:rsidRDefault="008F6705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1A7644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37E83E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56EB0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Grad Čazma može davati jamstva trgovačkim društvima u vlasništvu Grada Čazme i ustanovama koje je osnovao do visine Zakonom utvrđenih iznosa.</w:t>
      </w:r>
    </w:p>
    <w:p w14:paraId="2D041973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davanju jamstva donosi Gradonačelnik. Grad Čazma dužan je obavijestiti Ministarstvo financija o danim jamstvima, odnosno tražiti suglasnost za davanje jamstva prema Zakonskim odredbama.</w:t>
      </w:r>
    </w:p>
    <w:p w14:paraId="11511D82" w14:textId="77777777" w:rsid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E5B7B3" w14:textId="77777777" w:rsidR="00CC7CC2" w:rsidRPr="0029415C" w:rsidRDefault="00CC7CC2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54610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1DAD5A" w14:textId="77777777" w:rsidR="00DA4496" w:rsidRDefault="00DA4496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031DB" w14:textId="77777777" w:rsidR="00DA4496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što ih tijela Gradske uprave ostvare obavljanjem vlastite djelatnosti prihodi su Proračuna i uplaćuju se na njegov račun.</w:t>
      </w:r>
    </w:p>
    <w:p w14:paraId="74D5886E" w14:textId="641EA5F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Vlastite prihode koje ostvare korisnici Proračuna uplaćuju se na njihove račune uz obvezu da o ostvarenim vlastitim prihodima</w:t>
      </w:r>
      <w:r w:rsidR="00910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tromjesečno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izvještavaju Upravni odjel za proračun</w:t>
      </w:r>
      <w:r w:rsid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>, komunalno gospodarstvo, gospodarstvo, zaštitu okoliša i ekologiju.</w:t>
      </w:r>
    </w:p>
    <w:p w14:paraId="3EDFD70D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9E79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550FC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40ACF0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7416B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Pogrešno ili više uplaćeni prihodi u proračun vraćaju se uplatiteljima na temelju naloga pročelnika Upravnog odjela za proračun na teret tih prihoda, temeljem zahtjeva uplatitelja i priloženog dokaza o pogrešno ili više uplaćenom prihodu.</w:t>
      </w:r>
    </w:p>
    <w:p w14:paraId="3ED54B43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B5155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18FFA550" w14:textId="77777777" w:rsidR="0029415C" w:rsidRPr="0029415C" w:rsidRDefault="00CC7CC2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9415C"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9415C"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759C38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6E5FD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Uz suglasnost Gradonačelnika pročelnik Upravnog odjela za proračun može na zahtjev obveznika javnih davanja odgoditi plaćanje ili odobriti obročnu otplatu dospjelih nenaplaćenih javnih davanja.</w:t>
      </w:r>
    </w:p>
    <w:p w14:paraId="5EE1E5FD" w14:textId="77777777" w:rsidR="00DA4496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Rok plaćanja može se odgoditi za mjesec dana, a plaćanje u jednakim mjesečnim ratama može se odobriti na rok od najduže 10 mjeseci.</w:t>
      </w:r>
    </w:p>
    <w:p w14:paraId="1B40F4E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Dužnik je obavezan redovito podmirivati tekuće obveze. Ako se dužnik ne pridržava utvrđenih obveza pokrenut će se ovršni postupak.</w:t>
      </w:r>
    </w:p>
    <w:p w14:paraId="25FFFB2A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34B67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0A3C1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170E31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81090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Za neplanirane ili nedovoljno planirane izdatke koristit će se sredstva proračunske zalihe do visine određene Zakonom o Proračunu do 0,50% prihoda Proračuna bez primitaka.</w:t>
      </w:r>
    </w:p>
    <w:p w14:paraId="39F06F4E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 korištenju proračunske zalihe odlučuje Gradonačelnik.</w:t>
      </w:r>
    </w:p>
    <w:p w14:paraId="57EADB13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je obvezan izvijestiti Gradsko vijeće o korištenju proračunske zalihe.</w:t>
      </w:r>
    </w:p>
    <w:p w14:paraId="67E35CA3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5D945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CEFCE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986D1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E724A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plaćama službenika i namještenika Gradske uprave Grada Čazme</w:t>
      </w:r>
    </w:p>
    <w:p w14:paraId="63932D50" w14:textId="77777777" w:rsidR="0029415C" w:rsidRPr="0029415C" w:rsidRDefault="0029415C" w:rsidP="0065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naknadama vijećnicima Gradskog vijeća i članovima radnih tijela donosi Gradsko vijeće.</w:t>
      </w:r>
    </w:p>
    <w:p w14:paraId="203E4B41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D9B364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3AE5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korisnici mogu sklapati ugovore o nabavi robe, obavljanju usluga i ustupanju radova u visini dodijeljenih sredstava, a u skladu s godišnjim planom nabave i Zakonom o javnoj nabavi.</w:t>
      </w:r>
    </w:p>
    <w:p w14:paraId="1003FD20" w14:textId="77777777" w:rsidR="00CC7CC2" w:rsidRDefault="00CC7CC2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26CFA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EB56B6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A5E2E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proračun podnosi Gradonačelniku izvještaj o izvršavanju Proračuna za prvo polugodište tekuće proračunske godine do 5. rujna.</w:t>
      </w:r>
    </w:p>
    <w:p w14:paraId="27ABF14A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podnosi Gradskom vijeću polugodišnji izvještaj o izvršenju Proračuna do 15. rujna tekuće godine na donošenje.</w:t>
      </w:r>
    </w:p>
    <w:p w14:paraId="0A5470EA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C69FE" w14:textId="77777777" w:rsidR="00CC7CC2" w:rsidRDefault="0029415C" w:rsidP="00CC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 w:rsidR="00CC7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3FB1CD4" w14:textId="77777777" w:rsidR="0029415C" w:rsidRPr="0029415C" w:rsidRDefault="0029415C" w:rsidP="00CC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8DA58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485A3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Proračuna obavezni su izraditi financijska izvješća u tijeku godine prema Zakonu i dostaviti ih Upravnom odjelu za proračun.</w:t>
      </w:r>
    </w:p>
    <w:p w14:paraId="0A57844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odjeli Grada u obvezi su pregledati godišnje obračune korisnika za koje su nadležni.</w:t>
      </w:r>
    </w:p>
    <w:p w14:paraId="5A7A44E6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proračun izrađuje godišnji obračun Proračuna Grada i podnosi ga Gradonačelniku na razmatranje do 1. svibnja tekuće godine za prethodnu godinu, a Gradonačelnik podnosi isto na donošenje do 1. lipnja tekuće godine za prethodnu godinu Gradskom vijeću.</w:t>
      </w:r>
    </w:p>
    <w:p w14:paraId="1FB212BC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56E59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6FAB6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2D02AB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C18D7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proračun, odnosnu unutarnji revizor ima pravo nadzora nad materijalnim, računovodstvenim i financijskim poslovanjem korisnika sredstava Proračuna, te nad zakonitošću i svrsishodnom uporabom proračunskih sredstava.</w:t>
      </w:r>
    </w:p>
    <w:p w14:paraId="17E1A4DC" w14:textId="77777777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korisnici su obavezni dati sve potrebne podatke, isprave i izvješća koja se od njih traže.</w:t>
      </w:r>
    </w:p>
    <w:p w14:paraId="467E519B" w14:textId="77777777" w:rsidR="0029415C" w:rsidRPr="0029415C" w:rsidRDefault="0029415C" w:rsidP="0065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prilikom vršenja proračunskog nadzora utvrdi da su sredstva bila upotrebljavana protivno zakonu ili Proračunu o istome će se izvijestiti Gradsko vijeće i poduzeti mjere da se nadoknade utrošena sredstva ili će se privremeno obustaviti isplata sredstava sa pozicija s kojih su sredstva bila nenamjenski utrošena.</w:t>
      </w:r>
    </w:p>
    <w:p w14:paraId="770D7E4C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B32564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IV ZAVRŠNE ODREDBE</w:t>
      </w:r>
    </w:p>
    <w:p w14:paraId="02AE49DE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5489A2" w14:textId="77777777" w:rsidR="0029415C" w:rsidRPr="0029415C" w:rsidRDefault="0029415C" w:rsidP="0029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0F0D9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3110B5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A95BE" w14:textId="3D19243E" w:rsidR="0029415C" w:rsidRPr="0029415C" w:rsidRDefault="0029415C" w:rsidP="00D6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01.01.20</w:t>
      </w:r>
      <w:r w:rsidR="00D63D7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10DE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941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a objaviti će se u Službenom vjesniku Grada Čazme.</w:t>
      </w:r>
    </w:p>
    <w:p w14:paraId="642F7762" w14:textId="77777777" w:rsidR="0029415C" w:rsidRPr="0029415C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3D0E2" w14:textId="3F70EAB4" w:rsidR="0029415C" w:rsidRPr="006547BE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1F7942">
        <w:rPr>
          <w:rFonts w:ascii="Times New Roman" w:eastAsia="Times New Roman" w:hAnsi="Times New Roman" w:cs="Times New Roman"/>
          <w:sz w:val="24"/>
          <w:szCs w:val="24"/>
          <w:lang w:eastAsia="hr-HR"/>
        </w:rPr>
        <w:t>400-08/20-01/1</w:t>
      </w:r>
      <w:r w:rsidR="006547BE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711F42" w14:textId="5760B462" w:rsidR="006547BE" w:rsidRPr="006547BE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F7942">
        <w:rPr>
          <w:rFonts w:ascii="Times New Roman" w:eastAsia="Times New Roman" w:hAnsi="Times New Roman" w:cs="Times New Roman"/>
          <w:sz w:val="24"/>
          <w:szCs w:val="24"/>
          <w:lang w:eastAsia="hr-HR"/>
        </w:rPr>
        <w:t>2110-01-0</w:t>
      </w:r>
      <w:r w:rsidR="00B477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7942">
        <w:rPr>
          <w:rFonts w:ascii="Times New Roman" w:eastAsia="Times New Roman" w:hAnsi="Times New Roman" w:cs="Times New Roman"/>
          <w:sz w:val="24"/>
          <w:szCs w:val="24"/>
          <w:lang w:eastAsia="hr-HR"/>
        </w:rPr>
        <w:t>/20-05</w:t>
      </w:r>
    </w:p>
    <w:p w14:paraId="53C8E072" w14:textId="30E70ECB" w:rsidR="006547BE" w:rsidRPr="006547BE" w:rsidRDefault="006547BE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Čazma, </w:t>
      </w:r>
      <w:r w:rsidR="001F7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</w:t>
      </w:r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</w:t>
      </w:r>
      <w:r w:rsidR="00910DE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29415C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="00D63D73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14:paraId="5C575B77" w14:textId="77777777" w:rsidR="0029415C" w:rsidRPr="006547BE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63D73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  <w:r w:rsidR="008C506E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3D73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547BE" w:rsidRPr="00654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14:paraId="1E5CCD35" w14:textId="77777777" w:rsidR="008C506E" w:rsidRDefault="0029415C" w:rsidP="00294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41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</w:t>
      </w:r>
      <w:r w:rsidR="00D63D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6547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D63D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6547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  <w:r w:rsidR="00D63D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941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GRADSKOG </w:t>
      </w:r>
      <w:r w:rsidR="008C50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9393016" w14:textId="77777777" w:rsidR="0029415C" w:rsidRPr="008C506E" w:rsidRDefault="008C506E" w:rsidP="00294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="0029415C" w:rsidRPr="002941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Ivica Vranić</w:t>
      </w:r>
    </w:p>
    <w:sectPr w:rsidR="0029415C" w:rsidRPr="008C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241C1" w14:textId="77777777" w:rsidR="002D3E76" w:rsidRDefault="002D3E76" w:rsidP="00CC7CC2">
      <w:pPr>
        <w:spacing w:after="0" w:line="240" w:lineRule="auto"/>
      </w:pPr>
      <w:r>
        <w:separator/>
      </w:r>
    </w:p>
  </w:endnote>
  <w:endnote w:type="continuationSeparator" w:id="0">
    <w:p w14:paraId="448AFB7C" w14:textId="77777777" w:rsidR="002D3E76" w:rsidRDefault="002D3E76" w:rsidP="00CC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CD75" w14:textId="77777777" w:rsidR="002D3E76" w:rsidRDefault="002D3E76" w:rsidP="00CC7CC2">
      <w:pPr>
        <w:spacing w:after="0" w:line="240" w:lineRule="auto"/>
      </w:pPr>
      <w:r>
        <w:separator/>
      </w:r>
    </w:p>
  </w:footnote>
  <w:footnote w:type="continuationSeparator" w:id="0">
    <w:p w14:paraId="10F479B7" w14:textId="77777777" w:rsidR="002D3E76" w:rsidRDefault="002D3E76" w:rsidP="00CC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C"/>
    <w:rsid w:val="0001020D"/>
    <w:rsid w:val="000F0D99"/>
    <w:rsid w:val="001F7942"/>
    <w:rsid w:val="0029415C"/>
    <w:rsid w:val="002D3E76"/>
    <w:rsid w:val="00364F54"/>
    <w:rsid w:val="00424253"/>
    <w:rsid w:val="00595B6B"/>
    <w:rsid w:val="006547BE"/>
    <w:rsid w:val="006946EC"/>
    <w:rsid w:val="00893374"/>
    <w:rsid w:val="008C506E"/>
    <w:rsid w:val="008F6705"/>
    <w:rsid w:val="00910DEF"/>
    <w:rsid w:val="00983C63"/>
    <w:rsid w:val="00A916E5"/>
    <w:rsid w:val="00A97E2B"/>
    <w:rsid w:val="00AD112E"/>
    <w:rsid w:val="00B45133"/>
    <w:rsid w:val="00B47742"/>
    <w:rsid w:val="00C44330"/>
    <w:rsid w:val="00CC7CC2"/>
    <w:rsid w:val="00D63D73"/>
    <w:rsid w:val="00D81A0B"/>
    <w:rsid w:val="00DA4496"/>
    <w:rsid w:val="00EC6D35"/>
    <w:rsid w:val="00F42F7D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37A"/>
  <w15:chartTrackingRefBased/>
  <w15:docId w15:val="{F69BA5F6-EB3E-4288-8167-00F31A7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CC2"/>
  </w:style>
  <w:style w:type="paragraph" w:styleId="Podnoje">
    <w:name w:val="footer"/>
    <w:basedOn w:val="Normal"/>
    <w:link w:val="PodnojeChar"/>
    <w:uiPriority w:val="99"/>
    <w:unhideWhenUsed/>
    <w:rsid w:val="00CC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 Čazma</cp:lastModifiedBy>
  <cp:revision>9</cp:revision>
  <dcterms:created xsi:type="dcterms:W3CDTF">2019-12-02T07:29:00Z</dcterms:created>
  <dcterms:modified xsi:type="dcterms:W3CDTF">2020-12-16T11:16:00Z</dcterms:modified>
</cp:coreProperties>
</file>