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8A09A6" w:rsidRPr="008A09A6" w14:paraId="433B88F3" w14:textId="77777777" w:rsidTr="00455C22">
        <w:tc>
          <w:tcPr>
            <w:tcW w:w="4957" w:type="dxa"/>
          </w:tcPr>
          <w:p w14:paraId="1B6ACF93" w14:textId="77777777" w:rsidR="00E5485F" w:rsidRPr="008A09A6" w:rsidRDefault="00E5485F" w:rsidP="00455C22">
            <w:pPr>
              <w:spacing w:line="276" w:lineRule="auto"/>
              <w:ind w:right="120"/>
              <w:jc w:val="center"/>
              <w:textAlignment w:val="top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A09A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75DF42B" wp14:editId="6A6CFC92">
                  <wp:extent cx="295275" cy="355535"/>
                  <wp:effectExtent l="0" t="0" r="0" b="6985"/>
                  <wp:docPr id="2" name="Slika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4" cy="35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A9E8C8" w14:textId="77777777" w:rsidR="00E5485F" w:rsidRPr="008A09A6" w:rsidRDefault="00E5485F" w:rsidP="00455C2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A09A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REPUBLIKA HRVATSKA</w:t>
            </w:r>
          </w:p>
          <w:p w14:paraId="2082C6C2" w14:textId="77777777" w:rsidR="002406B3" w:rsidRPr="008A09A6" w:rsidRDefault="002406B3" w:rsidP="002406B3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A09A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Bjelovarsko- bilogorska županija</w:t>
            </w:r>
          </w:p>
          <w:p w14:paraId="540FB633" w14:textId="77777777" w:rsidR="002406B3" w:rsidRPr="008A09A6" w:rsidRDefault="002406B3" w:rsidP="002406B3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A09A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Grad Čazma</w:t>
            </w:r>
          </w:p>
          <w:p w14:paraId="10D1B262" w14:textId="77777777" w:rsidR="00E5485F" w:rsidRPr="008A09A6" w:rsidRDefault="002406B3" w:rsidP="002406B3">
            <w:pPr>
              <w:jc w:val="center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8A09A6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Gradonačelnik</w:t>
            </w:r>
          </w:p>
          <w:p w14:paraId="6E8A1B05" w14:textId="64830131" w:rsidR="002406B3" w:rsidRPr="008A09A6" w:rsidRDefault="002406B3" w:rsidP="002406B3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r-HR"/>
              </w:rPr>
            </w:pPr>
          </w:p>
        </w:tc>
      </w:tr>
    </w:tbl>
    <w:p w14:paraId="5E01AF1D" w14:textId="6EF9EA15" w:rsidR="00E5485F" w:rsidRPr="008A09A6" w:rsidRDefault="00E5485F" w:rsidP="00E5485F">
      <w:pPr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 xml:space="preserve">KLASA: </w:t>
      </w:r>
      <w:r w:rsidR="00CD74EC" w:rsidRPr="008A09A6">
        <w:rPr>
          <w:rFonts w:asciiTheme="minorHAnsi" w:hAnsiTheme="minorHAnsi" w:cstheme="minorHAnsi"/>
          <w:sz w:val="22"/>
          <w:szCs w:val="22"/>
        </w:rPr>
        <w:t>920-02/</w:t>
      </w:r>
      <w:r w:rsidR="00D45002">
        <w:rPr>
          <w:rFonts w:asciiTheme="minorHAnsi" w:hAnsiTheme="minorHAnsi" w:cstheme="minorHAnsi"/>
          <w:sz w:val="22"/>
          <w:szCs w:val="22"/>
        </w:rPr>
        <w:t>24</w:t>
      </w:r>
      <w:r w:rsidR="00CD74EC" w:rsidRPr="008A09A6">
        <w:rPr>
          <w:rFonts w:asciiTheme="minorHAnsi" w:hAnsiTheme="minorHAnsi" w:cstheme="minorHAnsi"/>
          <w:sz w:val="22"/>
          <w:szCs w:val="22"/>
        </w:rPr>
        <w:t>-01/0</w:t>
      </w:r>
      <w:r w:rsidR="00C035D7">
        <w:rPr>
          <w:rFonts w:asciiTheme="minorHAnsi" w:hAnsiTheme="minorHAnsi" w:cstheme="minorHAnsi"/>
          <w:sz w:val="22"/>
          <w:szCs w:val="22"/>
        </w:rPr>
        <w:t>1</w:t>
      </w:r>
    </w:p>
    <w:p w14:paraId="01A7C767" w14:textId="78A3F7A8" w:rsidR="00E5485F" w:rsidRPr="008A09A6" w:rsidRDefault="00E5485F" w:rsidP="00E5485F">
      <w:pPr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 xml:space="preserve">URBROJ: </w:t>
      </w:r>
      <w:r w:rsidR="00CD74EC" w:rsidRPr="008A09A6">
        <w:rPr>
          <w:rFonts w:asciiTheme="minorHAnsi" w:hAnsiTheme="minorHAnsi" w:cstheme="minorHAnsi"/>
          <w:sz w:val="22"/>
          <w:szCs w:val="22"/>
        </w:rPr>
        <w:t>2103-2-0</w:t>
      </w:r>
      <w:r w:rsidR="00D45002">
        <w:rPr>
          <w:rFonts w:asciiTheme="minorHAnsi" w:hAnsiTheme="minorHAnsi" w:cstheme="minorHAnsi"/>
          <w:sz w:val="22"/>
          <w:szCs w:val="22"/>
        </w:rPr>
        <w:t>4</w:t>
      </w:r>
      <w:r w:rsidR="00CD74EC" w:rsidRPr="008A09A6">
        <w:rPr>
          <w:rFonts w:asciiTheme="minorHAnsi" w:hAnsiTheme="minorHAnsi" w:cstheme="minorHAnsi"/>
          <w:sz w:val="22"/>
          <w:szCs w:val="22"/>
        </w:rPr>
        <w:t>/0</w:t>
      </w:r>
      <w:r w:rsidR="004423F6">
        <w:rPr>
          <w:rFonts w:asciiTheme="minorHAnsi" w:hAnsiTheme="minorHAnsi" w:cstheme="minorHAnsi"/>
          <w:sz w:val="22"/>
          <w:szCs w:val="22"/>
        </w:rPr>
        <w:t>1</w:t>
      </w:r>
      <w:r w:rsidR="00CD74EC" w:rsidRPr="008A09A6">
        <w:rPr>
          <w:rFonts w:asciiTheme="minorHAnsi" w:hAnsiTheme="minorHAnsi" w:cstheme="minorHAnsi"/>
          <w:sz w:val="22"/>
          <w:szCs w:val="22"/>
        </w:rPr>
        <w:t>-2</w:t>
      </w:r>
      <w:r w:rsidR="00F16139">
        <w:rPr>
          <w:rFonts w:asciiTheme="minorHAnsi" w:hAnsiTheme="minorHAnsi" w:cstheme="minorHAnsi"/>
          <w:sz w:val="22"/>
          <w:szCs w:val="22"/>
        </w:rPr>
        <w:t>4</w:t>
      </w:r>
      <w:r w:rsidR="00CD74EC" w:rsidRPr="008A09A6">
        <w:rPr>
          <w:rFonts w:asciiTheme="minorHAnsi" w:hAnsiTheme="minorHAnsi" w:cstheme="minorHAnsi"/>
          <w:sz w:val="22"/>
          <w:szCs w:val="22"/>
        </w:rPr>
        <w:t>-</w:t>
      </w:r>
      <w:r w:rsidR="00BD0FFD">
        <w:rPr>
          <w:rFonts w:asciiTheme="minorHAnsi" w:hAnsiTheme="minorHAnsi" w:cstheme="minorHAnsi"/>
          <w:sz w:val="22"/>
          <w:szCs w:val="22"/>
        </w:rPr>
        <w:t>1</w:t>
      </w:r>
    </w:p>
    <w:p w14:paraId="1C99620F" w14:textId="27C8BFDE" w:rsidR="00E5485F" w:rsidRPr="008A09A6" w:rsidRDefault="002406B3" w:rsidP="00E5485F">
      <w:pPr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>Čazma</w:t>
      </w:r>
      <w:r w:rsidR="00E5485F" w:rsidRPr="008A09A6">
        <w:rPr>
          <w:rFonts w:asciiTheme="minorHAnsi" w:hAnsiTheme="minorHAnsi" w:cstheme="minorHAnsi"/>
          <w:sz w:val="22"/>
          <w:szCs w:val="22"/>
        </w:rPr>
        <w:t>,</w:t>
      </w:r>
      <w:r w:rsidRPr="008A09A6">
        <w:rPr>
          <w:rFonts w:asciiTheme="minorHAnsi" w:hAnsiTheme="minorHAnsi" w:cstheme="minorHAnsi"/>
          <w:sz w:val="22"/>
          <w:szCs w:val="22"/>
        </w:rPr>
        <w:t xml:space="preserve">  </w:t>
      </w:r>
      <w:r w:rsidR="00D45002">
        <w:rPr>
          <w:rFonts w:asciiTheme="minorHAnsi" w:hAnsiTheme="minorHAnsi" w:cstheme="minorHAnsi"/>
          <w:sz w:val="22"/>
          <w:szCs w:val="22"/>
        </w:rPr>
        <w:t>12. travnja 2024</w:t>
      </w:r>
      <w:r w:rsidR="00E5485F" w:rsidRPr="008A09A6">
        <w:rPr>
          <w:rFonts w:asciiTheme="minorHAnsi" w:hAnsiTheme="minorHAnsi" w:cstheme="minorHAnsi"/>
          <w:sz w:val="22"/>
          <w:szCs w:val="22"/>
        </w:rPr>
        <w:t>.</w:t>
      </w:r>
    </w:p>
    <w:p w14:paraId="4353904C" w14:textId="77777777" w:rsidR="00E5485F" w:rsidRPr="008A09A6" w:rsidRDefault="00E5485F" w:rsidP="00E5485F">
      <w:pPr>
        <w:rPr>
          <w:rFonts w:asciiTheme="minorHAnsi" w:hAnsiTheme="minorHAnsi" w:cstheme="minorHAnsi"/>
          <w:sz w:val="22"/>
          <w:szCs w:val="22"/>
        </w:rPr>
      </w:pPr>
    </w:p>
    <w:p w14:paraId="77D39773" w14:textId="77777777" w:rsidR="00E5485F" w:rsidRPr="008A09A6" w:rsidRDefault="00E5485F" w:rsidP="00E5485F">
      <w:pPr>
        <w:rPr>
          <w:rFonts w:asciiTheme="minorHAnsi" w:hAnsiTheme="minorHAnsi" w:cstheme="minorHAnsi"/>
          <w:bCs/>
          <w:sz w:val="22"/>
          <w:szCs w:val="22"/>
        </w:rPr>
      </w:pPr>
    </w:p>
    <w:p w14:paraId="0B66053A" w14:textId="77777777" w:rsidR="00E5485F" w:rsidRPr="008A09A6" w:rsidRDefault="00E5485F" w:rsidP="00E5485F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3E32BA7" w14:textId="77777777" w:rsidR="00E5485F" w:rsidRPr="008A09A6" w:rsidRDefault="00E5485F" w:rsidP="00E5485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A09A6">
        <w:rPr>
          <w:rFonts w:asciiTheme="minorHAnsi" w:hAnsiTheme="minorHAnsi" w:cstheme="minorHAnsi"/>
          <w:bCs/>
          <w:sz w:val="22"/>
          <w:szCs w:val="22"/>
        </w:rPr>
        <w:t xml:space="preserve">IZVJEŠĆE </w:t>
      </w:r>
    </w:p>
    <w:p w14:paraId="1D0E9E9B" w14:textId="77777777" w:rsidR="00E5485F" w:rsidRPr="008A09A6" w:rsidRDefault="00E5485F" w:rsidP="00E5485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A09A6">
        <w:rPr>
          <w:rFonts w:asciiTheme="minorHAnsi" w:hAnsiTheme="minorHAnsi" w:cstheme="minorHAnsi"/>
          <w:bCs/>
          <w:sz w:val="22"/>
          <w:szCs w:val="22"/>
        </w:rPr>
        <w:t>O IZVRŠENJU PLANA DJELOVANJA</w:t>
      </w:r>
    </w:p>
    <w:p w14:paraId="54E75A3A" w14:textId="21922D40" w:rsidR="00E5485F" w:rsidRPr="008A09A6" w:rsidRDefault="00E5485F" w:rsidP="00E5485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A09A6">
        <w:rPr>
          <w:rFonts w:asciiTheme="minorHAnsi" w:hAnsiTheme="minorHAnsi" w:cstheme="minorHAnsi"/>
          <w:bCs/>
          <w:sz w:val="22"/>
          <w:szCs w:val="22"/>
        </w:rPr>
        <w:t>U PODRUČJU PRIRODNIH NEPOGODA ZA 20</w:t>
      </w:r>
      <w:r w:rsidR="004B4FF9" w:rsidRPr="008A09A6">
        <w:rPr>
          <w:rFonts w:asciiTheme="minorHAnsi" w:hAnsiTheme="minorHAnsi" w:cstheme="minorHAnsi"/>
          <w:bCs/>
          <w:sz w:val="22"/>
          <w:szCs w:val="22"/>
        </w:rPr>
        <w:t>2</w:t>
      </w:r>
      <w:r w:rsidR="00C81435">
        <w:rPr>
          <w:rFonts w:asciiTheme="minorHAnsi" w:hAnsiTheme="minorHAnsi" w:cstheme="minorHAnsi"/>
          <w:bCs/>
          <w:sz w:val="22"/>
          <w:szCs w:val="22"/>
        </w:rPr>
        <w:t>3</w:t>
      </w:r>
      <w:r w:rsidRPr="008A09A6">
        <w:rPr>
          <w:rFonts w:asciiTheme="minorHAnsi" w:hAnsiTheme="minorHAnsi" w:cstheme="minorHAnsi"/>
          <w:bCs/>
          <w:sz w:val="22"/>
          <w:szCs w:val="22"/>
        </w:rPr>
        <w:t>. GODINU</w:t>
      </w:r>
    </w:p>
    <w:p w14:paraId="2CFB681F" w14:textId="35852BFB" w:rsidR="004B4FF9" w:rsidRPr="008A09A6" w:rsidRDefault="004B4FF9" w:rsidP="00E5485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A09A6">
        <w:rPr>
          <w:rFonts w:asciiTheme="minorHAnsi" w:hAnsiTheme="minorHAnsi" w:cstheme="minorHAnsi"/>
          <w:bCs/>
          <w:sz w:val="22"/>
          <w:szCs w:val="22"/>
        </w:rPr>
        <w:t>ZA PODRUČJE GRADA ČAZME</w:t>
      </w:r>
    </w:p>
    <w:p w14:paraId="4A7D4C92" w14:textId="77777777" w:rsidR="00E5485F" w:rsidRPr="008A09A6" w:rsidRDefault="00E5485F" w:rsidP="00E5485F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43EF4D4A" w14:textId="25408780" w:rsidR="00E5485F" w:rsidRPr="008A09A6" w:rsidRDefault="00267E8B" w:rsidP="00E5485F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     </w:t>
      </w:r>
      <w:r w:rsidR="00E5485F" w:rsidRPr="008A09A6">
        <w:rPr>
          <w:rFonts w:asciiTheme="minorHAnsi" w:hAnsiTheme="minorHAnsi" w:cstheme="minorHAnsi"/>
          <w:sz w:val="22"/>
          <w:szCs w:val="22"/>
          <w:lang w:eastAsia="hr-HR"/>
        </w:rPr>
        <w:t>Na temelju članka 17.  stavak 3. Zakona o ublažavanju i uklanjanju posljedica prirodnih nepogoda (NN 16/19) kojim se uređuju kriteriji i ovlasti za proglašenje prirodne nepogode, procjena štete od prirodne nepogode, dodjela pomoći za ublažavanje i djelomično uklanjanje posljedica prirodnih nepogoda nastalih na području Republike Hrvatske, izvršno tijelo jedinice lokalne i područne (regionalne) samouprave podnosi predstavničkom tijelu jedinice lokalne i područne (regionalne) samouprave do 31. ožujka tekuće godine, izvješće o izvršenju Plana djelovanja u području prirodnih nepogoda za proteklu kalendarsku godinu.</w:t>
      </w:r>
    </w:p>
    <w:p w14:paraId="4E74D7F7" w14:textId="77777777" w:rsidR="00E5485F" w:rsidRPr="008A09A6" w:rsidRDefault="00E5485F" w:rsidP="00E5485F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738DEE87" w14:textId="60FA95F3" w:rsidR="00E5485F" w:rsidRPr="008A09A6" w:rsidRDefault="00267E8B" w:rsidP="00E5485F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    </w:t>
      </w:r>
      <w:r w:rsidR="00E5485F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Plan djelovanja u području prirodnih nepogoda za </w:t>
      </w:r>
      <w:r w:rsidR="00AB2E37" w:rsidRPr="008A09A6">
        <w:rPr>
          <w:rFonts w:asciiTheme="minorHAnsi" w:hAnsiTheme="minorHAnsi" w:cstheme="minorHAnsi"/>
          <w:sz w:val="22"/>
          <w:szCs w:val="22"/>
          <w:lang w:eastAsia="hr-HR"/>
        </w:rPr>
        <w:t>202</w:t>
      </w:r>
      <w:r w:rsidR="00C81435">
        <w:rPr>
          <w:rFonts w:asciiTheme="minorHAnsi" w:hAnsiTheme="minorHAnsi" w:cstheme="minorHAnsi"/>
          <w:sz w:val="22"/>
          <w:szCs w:val="22"/>
          <w:lang w:eastAsia="hr-HR"/>
        </w:rPr>
        <w:t>3</w:t>
      </w:r>
      <w:r w:rsidR="00AB2E37" w:rsidRPr="008A09A6">
        <w:rPr>
          <w:rFonts w:asciiTheme="minorHAnsi" w:hAnsiTheme="minorHAnsi" w:cstheme="minorHAnsi"/>
          <w:sz w:val="22"/>
          <w:szCs w:val="22"/>
          <w:lang w:eastAsia="hr-HR"/>
        </w:rPr>
        <w:t>.</w:t>
      </w:r>
      <w:r w:rsidR="00E5485F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godinu </w:t>
      </w:r>
      <w:r w:rsidR="008A09A6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oznake </w:t>
      </w:r>
      <w:r w:rsidR="00220C52">
        <w:rPr>
          <w:rFonts w:asciiTheme="minorHAnsi" w:hAnsiTheme="minorHAnsi" w:cstheme="minorHAnsi"/>
          <w:smallCaps/>
          <w:sz w:val="22"/>
          <w:szCs w:val="22"/>
        </w:rPr>
        <w:t>PON-23-0017</w:t>
      </w:r>
      <w:r w:rsidR="008A09A6" w:rsidRPr="008A09A6">
        <w:rPr>
          <w:rFonts w:asciiTheme="minorHAnsi" w:hAnsiTheme="minorHAnsi" w:cstheme="minorHAnsi"/>
          <w:smallCaps/>
          <w:sz w:val="22"/>
          <w:szCs w:val="22"/>
        </w:rPr>
        <w:t xml:space="preserve">, </w:t>
      </w:r>
      <w:r w:rsidR="00AB2E37" w:rsidRPr="008A09A6">
        <w:rPr>
          <w:rFonts w:asciiTheme="minorHAnsi" w:hAnsiTheme="minorHAnsi" w:cstheme="minorHAnsi"/>
          <w:sz w:val="22"/>
          <w:szCs w:val="22"/>
          <w:lang w:eastAsia="hr-HR"/>
        </w:rPr>
        <w:t>izrađen po stručnom izrađivaču DLS d.o.o Rijeka iz veljače 202</w:t>
      </w:r>
      <w:r w:rsidR="00220C52">
        <w:rPr>
          <w:rFonts w:asciiTheme="minorHAnsi" w:hAnsiTheme="minorHAnsi" w:cstheme="minorHAnsi"/>
          <w:sz w:val="22"/>
          <w:szCs w:val="22"/>
          <w:lang w:eastAsia="hr-HR"/>
        </w:rPr>
        <w:t>3</w:t>
      </w:r>
      <w:r w:rsidR="00AB2E37" w:rsidRPr="008A09A6">
        <w:rPr>
          <w:rFonts w:asciiTheme="minorHAnsi" w:hAnsiTheme="minorHAnsi" w:cstheme="minorHAnsi"/>
          <w:sz w:val="22"/>
          <w:szCs w:val="22"/>
          <w:lang w:eastAsia="hr-HR"/>
        </w:rPr>
        <w:t>.</w:t>
      </w:r>
      <w:r w:rsidR="00220C52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E5485F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(u daljnjem tekstu „Plan“) donesen je na </w:t>
      </w:r>
      <w:r w:rsidR="008A09A6" w:rsidRPr="008A09A6">
        <w:rPr>
          <w:rFonts w:asciiTheme="minorHAnsi" w:hAnsiTheme="minorHAnsi" w:cstheme="minorHAnsi"/>
          <w:sz w:val="22"/>
          <w:szCs w:val="22"/>
          <w:lang w:eastAsia="hr-HR"/>
        </w:rPr>
        <w:t>6</w:t>
      </w:r>
      <w:r w:rsidR="00E5485F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. sjednici </w:t>
      </w:r>
      <w:r w:rsidR="004B4FF9" w:rsidRPr="008A09A6">
        <w:rPr>
          <w:rFonts w:asciiTheme="minorHAnsi" w:hAnsiTheme="minorHAnsi" w:cstheme="minorHAnsi"/>
          <w:sz w:val="22"/>
          <w:szCs w:val="22"/>
          <w:lang w:eastAsia="hr-HR"/>
        </w:rPr>
        <w:t>Grad</w:t>
      </w:r>
      <w:r w:rsidR="003C7742" w:rsidRPr="008A09A6">
        <w:rPr>
          <w:rFonts w:asciiTheme="minorHAnsi" w:hAnsiTheme="minorHAnsi" w:cstheme="minorHAnsi"/>
          <w:sz w:val="22"/>
          <w:szCs w:val="22"/>
          <w:lang w:eastAsia="hr-HR"/>
        </w:rPr>
        <w:t>s</w:t>
      </w:r>
      <w:r w:rsidR="004B4FF9" w:rsidRPr="008A09A6">
        <w:rPr>
          <w:rFonts w:asciiTheme="minorHAnsi" w:hAnsiTheme="minorHAnsi" w:cstheme="minorHAnsi"/>
          <w:sz w:val="22"/>
          <w:szCs w:val="22"/>
          <w:lang w:eastAsia="hr-HR"/>
        </w:rPr>
        <w:t>kog vijeća</w:t>
      </w:r>
      <w:r w:rsidR="008A09A6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Grada Čazme</w:t>
      </w:r>
      <w:r w:rsidR="00E5485F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, dana </w:t>
      </w:r>
      <w:r w:rsidR="004B4FF9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8A09A6" w:rsidRPr="008A09A6">
        <w:rPr>
          <w:rFonts w:asciiTheme="minorHAnsi" w:hAnsiTheme="minorHAnsi" w:cstheme="minorHAnsi"/>
          <w:sz w:val="22"/>
          <w:szCs w:val="22"/>
          <w:lang w:eastAsia="hr-HR"/>
        </w:rPr>
        <w:t>24. veljače 2022.</w:t>
      </w:r>
      <w:r w:rsidR="00E5485F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godine. </w:t>
      </w:r>
      <w:r w:rsidR="008A09A6" w:rsidRPr="008A09A6">
        <w:rPr>
          <w:rFonts w:asciiTheme="minorHAnsi" w:hAnsiTheme="minorHAnsi" w:cstheme="minorHAnsi"/>
          <w:sz w:val="22"/>
          <w:szCs w:val="22"/>
          <w:lang w:eastAsia="hr-HR"/>
        </w:rPr>
        <w:t>(''</w:t>
      </w:r>
      <w:r w:rsidR="00E5485F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Službeni </w:t>
      </w:r>
      <w:r w:rsidR="004B4FF9" w:rsidRPr="008A09A6">
        <w:rPr>
          <w:rFonts w:asciiTheme="minorHAnsi" w:hAnsiTheme="minorHAnsi" w:cstheme="minorHAnsi"/>
          <w:sz w:val="22"/>
          <w:szCs w:val="22"/>
          <w:lang w:eastAsia="hr-HR"/>
        </w:rPr>
        <w:t>vjesnik Grada Čazme</w:t>
      </w:r>
      <w:r w:rsidR="008A09A6" w:rsidRPr="008A09A6">
        <w:rPr>
          <w:rFonts w:asciiTheme="minorHAnsi" w:hAnsiTheme="minorHAnsi" w:cstheme="minorHAnsi"/>
          <w:sz w:val="22"/>
          <w:szCs w:val="22"/>
          <w:lang w:eastAsia="hr-HR"/>
        </w:rPr>
        <w:t>''</w:t>
      </w:r>
      <w:r w:rsidR="004B4FF9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E5485F" w:rsidRPr="008A09A6">
        <w:rPr>
          <w:rFonts w:asciiTheme="minorHAnsi" w:hAnsiTheme="minorHAnsi" w:cstheme="minorHAnsi"/>
          <w:sz w:val="22"/>
          <w:szCs w:val="22"/>
          <w:lang w:eastAsia="hr-HR"/>
        </w:rPr>
        <w:t>broj</w:t>
      </w:r>
      <w:r w:rsidR="003A1F73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220C52">
        <w:rPr>
          <w:rFonts w:asciiTheme="minorHAnsi" w:hAnsiTheme="minorHAnsi" w:cstheme="minorHAnsi"/>
          <w:sz w:val="22"/>
          <w:szCs w:val="22"/>
          <w:lang w:eastAsia="hr-HR"/>
        </w:rPr>
        <w:t>14</w:t>
      </w:r>
      <w:r w:rsidR="008A09A6" w:rsidRPr="008A09A6">
        <w:rPr>
          <w:rFonts w:asciiTheme="minorHAnsi" w:hAnsiTheme="minorHAnsi" w:cstheme="minorHAnsi"/>
          <w:sz w:val="22"/>
          <w:szCs w:val="22"/>
          <w:lang w:eastAsia="hr-HR"/>
        </w:rPr>
        <w:t>/202</w:t>
      </w:r>
      <w:r w:rsidR="00220C52">
        <w:rPr>
          <w:rFonts w:asciiTheme="minorHAnsi" w:hAnsiTheme="minorHAnsi" w:cstheme="minorHAnsi"/>
          <w:sz w:val="22"/>
          <w:szCs w:val="22"/>
          <w:lang w:eastAsia="hr-HR"/>
        </w:rPr>
        <w:t>3</w:t>
      </w:r>
      <w:r w:rsidR="00E5485F" w:rsidRPr="008A09A6">
        <w:rPr>
          <w:rFonts w:asciiTheme="minorHAnsi" w:hAnsiTheme="minorHAnsi" w:cstheme="minorHAnsi"/>
          <w:sz w:val="22"/>
          <w:szCs w:val="22"/>
          <w:lang w:eastAsia="hr-HR"/>
        </w:rPr>
        <w:t>)</w:t>
      </w:r>
      <w:r w:rsidR="003A1F73" w:rsidRPr="008A09A6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27049C0B" w14:textId="77777777" w:rsidR="00E5485F" w:rsidRPr="008A09A6" w:rsidRDefault="00E5485F" w:rsidP="00E5485F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76E31428" w14:textId="2A5C0C8F" w:rsidR="00E5485F" w:rsidRPr="008A09A6" w:rsidRDefault="00267E8B" w:rsidP="00E5485F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   </w:t>
      </w:r>
      <w:r w:rsidR="00E5485F" w:rsidRPr="008A09A6">
        <w:rPr>
          <w:rFonts w:asciiTheme="minorHAnsi" w:hAnsiTheme="minorHAnsi" w:cstheme="minorHAnsi"/>
          <w:sz w:val="22"/>
          <w:szCs w:val="22"/>
          <w:lang w:eastAsia="hr-HR"/>
        </w:rPr>
        <w:t>Navedenim Planom utvrđene su prirodne ugroze za koje se Plan donosi, te mjere i nositelji u slučaju nastajanja prirodne nepogode.</w:t>
      </w:r>
    </w:p>
    <w:p w14:paraId="00892B49" w14:textId="77777777" w:rsidR="00E5485F" w:rsidRPr="008A09A6" w:rsidRDefault="00E5485F" w:rsidP="00E5485F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8A09A6">
        <w:rPr>
          <w:rFonts w:asciiTheme="minorHAnsi" w:hAnsiTheme="minorHAnsi" w:cstheme="minorHAnsi"/>
          <w:sz w:val="22"/>
          <w:szCs w:val="22"/>
          <w:lang w:eastAsia="hr-HR"/>
        </w:rPr>
        <w:t>Planom je predviđeno da će se obrađivati mjere i postupci JLS u slučaju slijedećih prirodnih nepogoda:</w:t>
      </w:r>
    </w:p>
    <w:p w14:paraId="1A7541DD" w14:textId="77777777" w:rsidR="008A09A6" w:rsidRPr="008A09A6" w:rsidRDefault="008A09A6" w:rsidP="008A09A6">
      <w:pPr>
        <w:pStyle w:val="Odlomakpopisa"/>
        <w:numPr>
          <w:ilvl w:val="0"/>
          <w:numId w:val="4"/>
        </w:numPr>
        <w:tabs>
          <w:tab w:val="left" w:pos="1755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 xml:space="preserve">potres, </w:t>
      </w:r>
    </w:p>
    <w:p w14:paraId="1F6C7DE6" w14:textId="77777777" w:rsidR="008A09A6" w:rsidRPr="008A09A6" w:rsidRDefault="008A09A6" w:rsidP="008A09A6">
      <w:pPr>
        <w:pStyle w:val="Odlomakpopisa"/>
        <w:numPr>
          <w:ilvl w:val="0"/>
          <w:numId w:val="4"/>
        </w:numPr>
        <w:tabs>
          <w:tab w:val="left" w:pos="1755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 xml:space="preserve">olujni i orkanski vjetar, </w:t>
      </w:r>
    </w:p>
    <w:p w14:paraId="2026A664" w14:textId="77777777" w:rsidR="008A09A6" w:rsidRPr="008A09A6" w:rsidRDefault="008A09A6" w:rsidP="008A09A6">
      <w:pPr>
        <w:pStyle w:val="Odlomakpopisa"/>
        <w:numPr>
          <w:ilvl w:val="0"/>
          <w:numId w:val="4"/>
        </w:numPr>
        <w:tabs>
          <w:tab w:val="left" w:pos="1755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 xml:space="preserve">požar, </w:t>
      </w:r>
    </w:p>
    <w:p w14:paraId="05CA08E6" w14:textId="77777777" w:rsidR="008A09A6" w:rsidRPr="008A09A6" w:rsidRDefault="008A09A6" w:rsidP="008A09A6">
      <w:pPr>
        <w:pStyle w:val="Odlomakpopisa"/>
        <w:numPr>
          <w:ilvl w:val="0"/>
          <w:numId w:val="4"/>
        </w:numPr>
        <w:tabs>
          <w:tab w:val="left" w:pos="1755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 xml:space="preserve">poplava, </w:t>
      </w:r>
    </w:p>
    <w:p w14:paraId="32C4065E" w14:textId="77777777" w:rsidR="008A09A6" w:rsidRPr="008A09A6" w:rsidRDefault="008A09A6" w:rsidP="008A09A6">
      <w:pPr>
        <w:pStyle w:val="Odlomakpopisa"/>
        <w:numPr>
          <w:ilvl w:val="0"/>
          <w:numId w:val="4"/>
        </w:numPr>
        <w:tabs>
          <w:tab w:val="left" w:pos="1755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 xml:space="preserve">suša, </w:t>
      </w:r>
    </w:p>
    <w:p w14:paraId="25352170" w14:textId="77777777" w:rsidR="008A09A6" w:rsidRPr="008A09A6" w:rsidRDefault="008A09A6" w:rsidP="008A09A6">
      <w:pPr>
        <w:pStyle w:val="Odlomakpopisa"/>
        <w:numPr>
          <w:ilvl w:val="0"/>
          <w:numId w:val="4"/>
        </w:numPr>
        <w:tabs>
          <w:tab w:val="left" w:pos="1755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 xml:space="preserve">tuča, kiša koja se smrzava u dodiru s podlogom, </w:t>
      </w:r>
    </w:p>
    <w:p w14:paraId="02507EA3" w14:textId="77777777" w:rsidR="008A09A6" w:rsidRPr="008A09A6" w:rsidRDefault="008A09A6" w:rsidP="008A09A6">
      <w:pPr>
        <w:pStyle w:val="Odlomakpopisa"/>
        <w:numPr>
          <w:ilvl w:val="0"/>
          <w:numId w:val="4"/>
        </w:numPr>
        <w:tabs>
          <w:tab w:val="left" w:pos="1755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 xml:space="preserve">mraz, </w:t>
      </w:r>
    </w:p>
    <w:p w14:paraId="6516E87D" w14:textId="77777777" w:rsidR="008A09A6" w:rsidRPr="008A09A6" w:rsidRDefault="008A09A6" w:rsidP="008A09A6">
      <w:pPr>
        <w:pStyle w:val="Odlomakpopisa"/>
        <w:numPr>
          <w:ilvl w:val="0"/>
          <w:numId w:val="4"/>
        </w:numPr>
        <w:tabs>
          <w:tab w:val="left" w:pos="1755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 xml:space="preserve">izvanredno velika visina snijega, </w:t>
      </w:r>
    </w:p>
    <w:p w14:paraId="3AE1E2DF" w14:textId="77777777" w:rsidR="008A09A6" w:rsidRPr="008A09A6" w:rsidRDefault="008A09A6" w:rsidP="008A09A6">
      <w:pPr>
        <w:pStyle w:val="Odlomakpopisa"/>
        <w:numPr>
          <w:ilvl w:val="0"/>
          <w:numId w:val="4"/>
        </w:numPr>
        <w:tabs>
          <w:tab w:val="left" w:pos="1755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 xml:space="preserve">snježni nanos i lavina, </w:t>
      </w:r>
    </w:p>
    <w:p w14:paraId="06C95F3B" w14:textId="77777777" w:rsidR="008A09A6" w:rsidRPr="008A09A6" w:rsidRDefault="008A09A6" w:rsidP="008A09A6">
      <w:pPr>
        <w:pStyle w:val="Odlomakpopisa"/>
        <w:numPr>
          <w:ilvl w:val="0"/>
          <w:numId w:val="4"/>
        </w:numPr>
        <w:tabs>
          <w:tab w:val="left" w:pos="1755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 xml:space="preserve">nagomilavanje leda na vodotocima, </w:t>
      </w:r>
    </w:p>
    <w:p w14:paraId="76570238" w14:textId="77777777" w:rsidR="008A09A6" w:rsidRPr="008A09A6" w:rsidRDefault="008A09A6" w:rsidP="008A09A6">
      <w:pPr>
        <w:pStyle w:val="Odlomakpopisa"/>
        <w:numPr>
          <w:ilvl w:val="0"/>
          <w:numId w:val="4"/>
        </w:numPr>
        <w:tabs>
          <w:tab w:val="left" w:pos="1755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 xml:space="preserve">klizanje, tečenje, odronjavanje i prevrtanje zemljišta, te </w:t>
      </w:r>
    </w:p>
    <w:p w14:paraId="02FD097F" w14:textId="5051588A" w:rsidR="008A09A6" w:rsidRPr="008A09A6" w:rsidRDefault="008A09A6" w:rsidP="008A09A6">
      <w:pPr>
        <w:pStyle w:val="Odlomakpopisa"/>
        <w:numPr>
          <w:ilvl w:val="0"/>
          <w:numId w:val="4"/>
        </w:numPr>
        <w:tabs>
          <w:tab w:val="left" w:pos="1755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>druge pojave takva opsega koje, ovisno o mjesnim prilikama, uzrokuju bitne poremećaje u životu ljudi na određenom području.</w:t>
      </w:r>
    </w:p>
    <w:p w14:paraId="5BBE91F4" w14:textId="77777777" w:rsidR="008A09A6" w:rsidRPr="008A09A6" w:rsidRDefault="008A09A6" w:rsidP="008A09A6">
      <w:pPr>
        <w:pStyle w:val="Odlomakpopisa"/>
        <w:tabs>
          <w:tab w:val="left" w:pos="1755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1F8AE6E" w14:textId="031DB839" w:rsidR="00E5485F" w:rsidRPr="008A09A6" w:rsidRDefault="00267E8B" w:rsidP="00E5485F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       </w:t>
      </w:r>
      <w:r w:rsidR="00E5485F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Ostale prirodne nepogode obrađene su drugim planskim dokumentima (Planom djelovanja CZ ili Planom zaštite od požara), te se sukladno tumačenju Ministarstva financija, da se ugroze koje se </w:t>
      </w:r>
      <w:r w:rsidR="00E5485F" w:rsidRPr="008A09A6">
        <w:rPr>
          <w:rFonts w:asciiTheme="minorHAnsi" w:hAnsiTheme="minorHAnsi" w:cstheme="minorHAnsi"/>
          <w:sz w:val="22"/>
          <w:szCs w:val="22"/>
          <w:lang w:eastAsia="hr-HR"/>
        </w:rPr>
        <w:lastRenderedPageBreak/>
        <w:t xml:space="preserve">obrađuju dokumentima zaštite i spašavanja, odnosno u ovom slučaju Procjenom rizika i Planom CZ za područje </w:t>
      </w:r>
      <w:r w:rsidR="004B4FF9" w:rsidRPr="008A09A6">
        <w:rPr>
          <w:rFonts w:asciiTheme="minorHAnsi" w:hAnsiTheme="minorHAnsi" w:cstheme="minorHAnsi"/>
          <w:sz w:val="22"/>
          <w:szCs w:val="22"/>
          <w:lang w:eastAsia="hr-HR"/>
        </w:rPr>
        <w:t>JLS</w:t>
      </w:r>
      <w:r w:rsidR="00E5485F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( ekstremne vremenske pojave-visoke temperature i epidemije i pandemije </w:t>
      </w:r>
      <w:r w:rsidR="00945A6D" w:rsidRPr="008A09A6">
        <w:rPr>
          <w:rFonts w:asciiTheme="minorHAnsi" w:hAnsiTheme="minorHAnsi" w:cstheme="minorHAnsi"/>
          <w:sz w:val="22"/>
          <w:szCs w:val="22"/>
          <w:lang w:eastAsia="hr-HR"/>
        </w:rPr>
        <w:t>)</w:t>
      </w:r>
      <w:r w:rsidR="00E5485F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 neće obrađivati ovim Planom jer su mjere i postupci obrađeni u Planu djelovanja sustava CZ.</w:t>
      </w:r>
    </w:p>
    <w:p w14:paraId="38E9D8FF" w14:textId="7E368B78" w:rsidR="005646D4" w:rsidRPr="008A09A6" w:rsidRDefault="005646D4" w:rsidP="00E5485F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3D8AEBC0" w14:textId="20E9B342" w:rsidR="00945A6D" w:rsidRPr="008A09A6" w:rsidRDefault="005646D4" w:rsidP="004423F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       </w:t>
      </w:r>
      <w:r w:rsidR="00267E8B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       </w:t>
      </w:r>
      <w:r w:rsidR="004B4FF9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Budući da </w:t>
      </w:r>
      <w:r w:rsidR="00220C52">
        <w:rPr>
          <w:rFonts w:asciiTheme="minorHAnsi" w:hAnsiTheme="minorHAnsi" w:cstheme="minorHAnsi"/>
          <w:sz w:val="22"/>
          <w:szCs w:val="22"/>
          <w:lang w:eastAsia="hr-HR"/>
        </w:rPr>
        <w:t>je</w:t>
      </w:r>
      <w:r w:rsidR="00F62C21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4B4FF9" w:rsidRPr="008A09A6">
        <w:rPr>
          <w:rFonts w:asciiTheme="minorHAnsi" w:hAnsiTheme="minorHAnsi" w:cstheme="minorHAnsi"/>
          <w:sz w:val="22"/>
          <w:szCs w:val="22"/>
          <w:lang w:eastAsia="hr-HR"/>
        </w:rPr>
        <w:t>u izvještajnom razdoblju, po gore navedenim odredbama zakona, za područje  Grada Čazme  proglašen</w:t>
      </w:r>
      <w:r w:rsidR="00220C52">
        <w:rPr>
          <w:rFonts w:asciiTheme="minorHAnsi" w:hAnsiTheme="minorHAnsi" w:cstheme="minorHAnsi"/>
          <w:sz w:val="22"/>
          <w:szCs w:val="22"/>
          <w:lang w:eastAsia="hr-HR"/>
        </w:rPr>
        <w:t>a</w:t>
      </w:r>
      <w:r w:rsidR="004B4FF9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 prirodn</w:t>
      </w:r>
      <w:r w:rsidR="002F58BA">
        <w:rPr>
          <w:rFonts w:asciiTheme="minorHAnsi" w:hAnsiTheme="minorHAnsi" w:cstheme="minorHAnsi"/>
          <w:sz w:val="22"/>
          <w:szCs w:val="22"/>
          <w:lang w:eastAsia="hr-HR"/>
        </w:rPr>
        <w:t>a</w:t>
      </w:r>
      <w:r w:rsidR="004B4FF9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nepogod</w:t>
      </w:r>
      <w:r w:rsidR="002F58BA">
        <w:rPr>
          <w:rFonts w:asciiTheme="minorHAnsi" w:hAnsiTheme="minorHAnsi" w:cstheme="minorHAnsi"/>
          <w:sz w:val="22"/>
          <w:szCs w:val="22"/>
          <w:lang w:eastAsia="hr-HR"/>
        </w:rPr>
        <w:t>a</w:t>
      </w:r>
      <w:r w:rsidR="00F62C21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u 20</w:t>
      </w:r>
      <w:r w:rsidR="008A09A6">
        <w:rPr>
          <w:rFonts w:asciiTheme="minorHAnsi" w:hAnsiTheme="minorHAnsi" w:cstheme="minorHAnsi"/>
          <w:sz w:val="22"/>
          <w:szCs w:val="22"/>
          <w:lang w:eastAsia="hr-HR"/>
        </w:rPr>
        <w:t>2</w:t>
      </w:r>
      <w:r w:rsidR="00220C52">
        <w:rPr>
          <w:rFonts w:asciiTheme="minorHAnsi" w:hAnsiTheme="minorHAnsi" w:cstheme="minorHAnsi"/>
          <w:sz w:val="22"/>
          <w:szCs w:val="22"/>
          <w:lang w:eastAsia="hr-HR"/>
        </w:rPr>
        <w:t>3</w:t>
      </w:r>
      <w:r w:rsidR="00F62C21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8A09A6">
        <w:rPr>
          <w:rFonts w:asciiTheme="minorHAnsi" w:hAnsiTheme="minorHAnsi" w:cstheme="minorHAnsi"/>
          <w:sz w:val="22"/>
          <w:szCs w:val="22"/>
          <w:lang w:eastAsia="hr-HR"/>
        </w:rPr>
        <w:t>–</w:t>
      </w:r>
      <w:r w:rsidR="004B4FF9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220C52">
        <w:rPr>
          <w:rFonts w:asciiTheme="minorHAnsi" w:hAnsiTheme="minorHAnsi" w:cstheme="minorHAnsi"/>
          <w:sz w:val="22"/>
          <w:szCs w:val="22"/>
          <w:lang w:eastAsia="hr-HR"/>
        </w:rPr>
        <w:t>poplava</w:t>
      </w:r>
      <w:r w:rsidR="004B4FF9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, </w:t>
      </w:r>
      <w:r w:rsidR="00F62C21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gradonačelnik Grada Čazme </w:t>
      </w:r>
      <w:r w:rsidR="004B4FF9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podnosi  Gradskom vijeću predmetno izvješće</w:t>
      </w:r>
      <w:r w:rsidR="00945A6D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 za navedeno:</w:t>
      </w:r>
    </w:p>
    <w:p w14:paraId="21C98CA1" w14:textId="4C24B7D5" w:rsidR="00945A6D" w:rsidRPr="008A09A6" w:rsidRDefault="00945A6D" w:rsidP="004B4FF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5977976D" w14:textId="0D0EC3E4" w:rsidR="00E9492B" w:rsidRDefault="00CA1B87" w:rsidP="00F62C21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b/>
          <w:bCs/>
          <w:sz w:val="22"/>
          <w:szCs w:val="22"/>
        </w:rPr>
        <w:t>Prirodna nepogoda-</w:t>
      </w:r>
      <w:r w:rsidR="00220C52">
        <w:rPr>
          <w:rFonts w:asciiTheme="minorHAnsi" w:hAnsiTheme="minorHAnsi" w:cstheme="minorHAnsi"/>
          <w:b/>
          <w:bCs/>
          <w:sz w:val="22"/>
          <w:szCs w:val="22"/>
        </w:rPr>
        <w:t>poplava</w:t>
      </w:r>
      <w:r w:rsidRPr="008A09A6">
        <w:rPr>
          <w:rFonts w:asciiTheme="minorHAnsi" w:hAnsiTheme="minorHAnsi" w:cstheme="minorHAnsi"/>
          <w:sz w:val="22"/>
          <w:szCs w:val="22"/>
        </w:rPr>
        <w:t xml:space="preserve"> nastala je </w:t>
      </w:r>
      <w:r w:rsidR="00220C52">
        <w:rPr>
          <w:rFonts w:asciiTheme="minorHAnsi" w:hAnsiTheme="minorHAnsi" w:cstheme="minorHAnsi"/>
          <w:sz w:val="22"/>
          <w:szCs w:val="22"/>
        </w:rPr>
        <w:t>1.</w:t>
      </w:r>
      <w:r w:rsidR="003359B2">
        <w:rPr>
          <w:rFonts w:asciiTheme="minorHAnsi" w:hAnsiTheme="minorHAnsi" w:cstheme="minorHAnsi"/>
          <w:sz w:val="22"/>
          <w:szCs w:val="22"/>
        </w:rPr>
        <w:t xml:space="preserve">svibnja </w:t>
      </w:r>
      <w:r w:rsidR="00220C52">
        <w:rPr>
          <w:rFonts w:asciiTheme="minorHAnsi" w:hAnsiTheme="minorHAnsi" w:cstheme="minorHAnsi"/>
          <w:sz w:val="22"/>
          <w:szCs w:val="22"/>
        </w:rPr>
        <w:t>2023</w:t>
      </w:r>
      <w:r w:rsidR="00F62C21" w:rsidRPr="008A09A6">
        <w:rPr>
          <w:rFonts w:asciiTheme="minorHAnsi" w:hAnsiTheme="minorHAnsi" w:cstheme="minorHAnsi"/>
          <w:sz w:val="22"/>
          <w:szCs w:val="22"/>
        </w:rPr>
        <w:t>.</w:t>
      </w:r>
      <w:r w:rsidR="00220C52">
        <w:rPr>
          <w:rFonts w:asciiTheme="minorHAnsi" w:hAnsiTheme="minorHAnsi" w:cstheme="minorHAnsi"/>
          <w:sz w:val="22"/>
          <w:szCs w:val="22"/>
        </w:rPr>
        <w:t xml:space="preserve"> godine uslijed velike količine kiše koja je u relativno kratkom periodu pala na širem području grada Čazme te uzrokovala ispiranje usjeva i stvorila zbijene </w:t>
      </w:r>
      <w:r w:rsidR="003359B2">
        <w:rPr>
          <w:rFonts w:asciiTheme="minorHAnsi" w:hAnsiTheme="minorHAnsi" w:cstheme="minorHAnsi"/>
          <w:sz w:val="22"/>
          <w:szCs w:val="22"/>
        </w:rPr>
        <w:t>naplavine mulja na netom posađenim parcelama.</w:t>
      </w:r>
      <w:r w:rsidR="00220C52">
        <w:rPr>
          <w:rFonts w:asciiTheme="minorHAnsi" w:hAnsiTheme="minorHAnsi" w:cstheme="minorHAnsi"/>
          <w:sz w:val="22"/>
          <w:szCs w:val="22"/>
        </w:rPr>
        <w:t xml:space="preserve"> </w:t>
      </w:r>
      <w:r w:rsidR="003359B2">
        <w:rPr>
          <w:rFonts w:asciiTheme="minorHAnsi" w:hAnsiTheme="minorHAnsi" w:cstheme="minorHAnsi"/>
          <w:sz w:val="22"/>
          <w:szCs w:val="22"/>
        </w:rPr>
        <w:t>Na</w:t>
      </w:r>
      <w:r w:rsidRPr="008A09A6">
        <w:rPr>
          <w:rFonts w:asciiTheme="minorHAnsi" w:hAnsiTheme="minorHAnsi" w:cstheme="minorHAnsi"/>
          <w:sz w:val="22"/>
          <w:szCs w:val="22"/>
        </w:rPr>
        <w:t xml:space="preserve"> prijedlog Gradskog povjerenstva za procjenu šteta od prirodnih nepogoda i gradonačelnika Grada Čazme, Župan </w:t>
      </w:r>
      <w:r w:rsidR="00434A22">
        <w:rPr>
          <w:rFonts w:asciiTheme="minorHAnsi" w:hAnsiTheme="minorHAnsi" w:cstheme="minorHAnsi"/>
          <w:sz w:val="22"/>
          <w:szCs w:val="22"/>
        </w:rPr>
        <w:t>Bjelovarsko-bilogorske županije</w:t>
      </w:r>
      <w:r w:rsidRPr="008A09A6">
        <w:rPr>
          <w:rFonts w:asciiTheme="minorHAnsi" w:hAnsiTheme="minorHAnsi" w:cstheme="minorHAnsi"/>
          <w:sz w:val="22"/>
          <w:szCs w:val="22"/>
        </w:rPr>
        <w:t xml:space="preserve"> dana </w:t>
      </w:r>
      <w:r w:rsidR="003359B2">
        <w:rPr>
          <w:rFonts w:asciiTheme="minorHAnsi" w:hAnsiTheme="minorHAnsi" w:cstheme="minorHAnsi"/>
          <w:sz w:val="22"/>
          <w:szCs w:val="22"/>
        </w:rPr>
        <w:t>15.</w:t>
      </w:r>
      <w:r w:rsidR="008D79FD">
        <w:rPr>
          <w:rFonts w:asciiTheme="minorHAnsi" w:hAnsiTheme="minorHAnsi" w:cstheme="minorHAnsi"/>
          <w:sz w:val="22"/>
          <w:szCs w:val="22"/>
        </w:rPr>
        <w:t xml:space="preserve"> </w:t>
      </w:r>
      <w:r w:rsidR="003359B2">
        <w:rPr>
          <w:rFonts w:asciiTheme="minorHAnsi" w:hAnsiTheme="minorHAnsi" w:cstheme="minorHAnsi"/>
          <w:sz w:val="22"/>
          <w:szCs w:val="22"/>
        </w:rPr>
        <w:t>lipnja</w:t>
      </w:r>
      <w:r w:rsidR="008D79FD">
        <w:rPr>
          <w:rFonts w:asciiTheme="minorHAnsi" w:hAnsiTheme="minorHAnsi" w:cstheme="minorHAnsi"/>
          <w:sz w:val="22"/>
          <w:szCs w:val="22"/>
        </w:rPr>
        <w:t xml:space="preserve"> </w:t>
      </w:r>
      <w:r w:rsidRPr="008A09A6">
        <w:rPr>
          <w:rFonts w:asciiTheme="minorHAnsi" w:hAnsiTheme="minorHAnsi" w:cstheme="minorHAnsi"/>
          <w:sz w:val="22"/>
          <w:szCs w:val="22"/>
        </w:rPr>
        <w:t>202</w:t>
      </w:r>
      <w:r w:rsidR="003359B2">
        <w:rPr>
          <w:rFonts w:asciiTheme="minorHAnsi" w:hAnsiTheme="minorHAnsi" w:cstheme="minorHAnsi"/>
          <w:sz w:val="22"/>
          <w:szCs w:val="22"/>
        </w:rPr>
        <w:t>3</w:t>
      </w:r>
      <w:r w:rsidRPr="008A09A6">
        <w:rPr>
          <w:rFonts w:asciiTheme="minorHAnsi" w:hAnsiTheme="minorHAnsi" w:cstheme="minorHAnsi"/>
          <w:sz w:val="22"/>
          <w:szCs w:val="22"/>
        </w:rPr>
        <w:t>.</w:t>
      </w:r>
      <w:r w:rsidR="008D79FD">
        <w:rPr>
          <w:rFonts w:asciiTheme="minorHAnsi" w:hAnsiTheme="minorHAnsi" w:cstheme="minorHAnsi"/>
          <w:sz w:val="22"/>
          <w:szCs w:val="22"/>
        </w:rPr>
        <w:t xml:space="preserve"> godine</w:t>
      </w:r>
      <w:r w:rsidRPr="008A09A6">
        <w:rPr>
          <w:rFonts w:asciiTheme="minorHAnsi" w:hAnsiTheme="minorHAnsi" w:cstheme="minorHAnsi"/>
          <w:sz w:val="22"/>
          <w:szCs w:val="22"/>
        </w:rPr>
        <w:t xml:space="preserve"> donio Odluku o proglašenju prirodne nepogode-</w:t>
      </w:r>
      <w:r w:rsidR="003359B2">
        <w:rPr>
          <w:rFonts w:asciiTheme="minorHAnsi" w:hAnsiTheme="minorHAnsi" w:cstheme="minorHAnsi"/>
          <w:sz w:val="22"/>
          <w:szCs w:val="22"/>
        </w:rPr>
        <w:t>poplave</w:t>
      </w:r>
      <w:r w:rsidRPr="008A09A6">
        <w:rPr>
          <w:rFonts w:asciiTheme="minorHAnsi" w:hAnsiTheme="minorHAnsi" w:cstheme="minorHAnsi"/>
          <w:sz w:val="22"/>
          <w:szCs w:val="22"/>
        </w:rPr>
        <w:t xml:space="preserve"> za Grad Čazmu</w:t>
      </w:r>
      <w:r w:rsidR="008D79FD">
        <w:rPr>
          <w:rFonts w:asciiTheme="minorHAnsi" w:hAnsiTheme="minorHAnsi" w:cstheme="minorHAnsi"/>
          <w:sz w:val="22"/>
          <w:szCs w:val="22"/>
        </w:rPr>
        <w:t xml:space="preserve"> </w:t>
      </w:r>
      <w:r w:rsidRPr="008A09A6">
        <w:rPr>
          <w:rFonts w:asciiTheme="minorHAnsi" w:hAnsiTheme="minorHAnsi" w:cstheme="minorHAnsi"/>
          <w:sz w:val="22"/>
          <w:szCs w:val="22"/>
        </w:rPr>
        <w:t>(uz ostale gradove i općine)</w:t>
      </w:r>
      <w:r w:rsidR="008D79FD">
        <w:rPr>
          <w:rFonts w:asciiTheme="minorHAnsi" w:hAnsiTheme="minorHAnsi" w:cstheme="minorHAnsi"/>
          <w:sz w:val="22"/>
          <w:szCs w:val="22"/>
        </w:rPr>
        <w:t xml:space="preserve"> </w:t>
      </w:r>
      <w:r w:rsidR="008D79FD" w:rsidRPr="008D79FD">
        <w:rPr>
          <w:rFonts w:asciiTheme="minorHAnsi" w:hAnsiTheme="minorHAnsi" w:cstheme="minorHAnsi"/>
          <w:sz w:val="22"/>
          <w:szCs w:val="22"/>
        </w:rPr>
        <w:t>KLASA: 920-03/2</w:t>
      </w:r>
      <w:r w:rsidR="003359B2">
        <w:rPr>
          <w:rFonts w:asciiTheme="minorHAnsi" w:hAnsiTheme="minorHAnsi" w:cstheme="minorHAnsi"/>
          <w:sz w:val="22"/>
          <w:szCs w:val="22"/>
        </w:rPr>
        <w:t>3</w:t>
      </w:r>
      <w:r w:rsidR="008D79FD" w:rsidRPr="008D79FD">
        <w:rPr>
          <w:rFonts w:asciiTheme="minorHAnsi" w:hAnsiTheme="minorHAnsi" w:cstheme="minorHAnsi"/>
          <w:sz w:val="22"/>
          <w:szCs w:val="22"/>
        </w:rPr>
        <w:t>-01/1, URBROJ:2103</w:t>
      </w:r>
      <w:r w:rsidR="003359B2">
        <w:rPr>
          <w:rFonts w:asciiTheme="minorHAnsi" w:hAnsiTheme="minorHAnsi" w:cstheme="minorHAnsi"/>
          <w:sz w:val="22"/>
          <w:szCs w:val="22"/>
        </w:rPr>
        <w:t>-20/01-23-13</w:t>
      </w:r>
      <w:r w:rsidR="008D79FD">
        <w:rPr>
          <w:rFonts w:asciiTheme="minorHAnsi" w:hAnsiTheme="minorHAnsi" w:cstheme="minorHAnsi"/>
          <w:sz w:val="22"/>
          <w:szCs w:val="22"/>
        </w:rPr>
        <w:t xml:space="preserve">. U za to zakonom predviđenom roku zaprimljeno </w:t>
      </w:r>
      <w:r w:rsidR="00AA7AED">
        <w:rPr>
          <w:rFonts w:asciiTheme="minorHAnsi" w:hAnsiTheme="minorHAnsi" w:cstheme="minorHAnsi"/>
          <w:sz w:val="22"/>
          <w:szCs w:val="22"/>
        </w:rPr>
        <w:t xml:space="preserve">je </w:t>
      </w:r>
      <w:r w:rsidR="00AA7AED" w:rsidRPr="00CF5ED2">
        <w:rPr>
          <w:rFonts w:asciiTheme="minorHAnsi" w:hAnsiTheme="minorHAnsi" w:cstheme="minorHAnsi"/>
          <w:sz w:val="22"/>
          <w:szCs w:val="22"/>
        </w:rPr>
        <w:t>127</w:t>
      </w:r>
      <w:r w:rsidR="008D79FD" w:rsidRPr="00AA7AE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8D79FD">
        <w:rPr>
          <w:rFonts w:asciiTheme="minorHAnsi" w:hAnsiTheme="minorHAnsi" w:cstheme="minorHAnsi"/>
          <w:sz w:val="22"/>
          <w:szCs w:val="22"/>
        </w:rPr>
        <w:t>prijave</w:t>
      </w:r>
      <w:r w:rsidR="00C6021C" w:rsidRPr="008A09A6">
        <w:rPr>
          <w:rFonts w:asciiTheme="minorHAnsi" w:hAnsiTheme="minorHAnsi" w:cstheme="minorHAnsi"/>
          <w:sz w:val="22"/>
          <w:szCs w:val="22"/>
        </w:rPr>
        <w:t xml:space="preserve"> za štetu na poljoprivrednim kulturama</w:t>
      </w:r>
      <w:r w:rsidR="008D79FD">
        <w:rPr>
          <w:rFonts w:asciiTheme="minorHAnsi" w:hAnsiTheme="minorHAnsi" w:cstheme="minorHAnsi"/>
          <w:sz w:val="22"/>
          <w:szCs w:val="22"/>
        </w:rPr>
        <w:t xml:space="preserve"> na području Grada Čazme.</w:t>
      </w:r>
      <w:r w:rsidR="00C6021C" w:rsidRPr="008A09A6">
        <w:rPr>
          <w:rFonts w:asciiTheme="minorHAnsi" w:hAnsiTheme="minorHAnsi" w:cstheme="minorHAnsi"/>
          <w:sz w:val="22"/>
          <w:szCs w:val="22"/>
        </w:rPr>
        <w:t xml:space="preserve"> </w:t>
      </w:r>
      <w:r w:rsidR="00DF1470" w:rsidRPr="008A09A6">
        <w:rPr>
          <w:rFonts w:asciiTheme="minorHAnsi" w:hAnsiTheme="minorHAnsi" w:cstheme="minorHAnsi"/>
          <w:sz w:val="22"/>
          <w:szCs w:val="22"/>
        </w:rPr>
        <w:t>Ukupna obračuna</w:t>
      </w:r>
      <w:r w:rsidR="00AA7AED">
        <w:rPr>
          <w:rFonts w:asciiTheme="minorHAnsi" w:hAnsiTheme="minorHAnsi" w:cstheme="minorHAnsi"/>
          <w:sz w:val="22"/>
          <w:szCs w:val="22"/>
        </w:rPr>
        <w:t>t</w:t>
      </w:r>
      <w:r w:rsidR="00DF1470" w:rsidRPr="008A09A6">
        <w:rPr>
          <w:rFonts w:asciiTheme="minorHAnsi" w:hAnsiTheme="minorHAnsi" w:cstheme="minorHAnsi"/>
          <w:sz w:val="22"/>
          <w:szCs w:val="22"/>
        </w:rPr>
        <w:t>a šteta iznosi</w:t>
      </w:r>
      <w:r w:rsidR="008D79FD">
        <w:rPr>
          <w:rFonts w:asciiTheme="minorHAnsi" w:hAnsiTheme="minorHAnsi" w:cstheme="minorHAnsi"/>
          <w:sz w:val="22"/>
          <w:szCs w:val="22"/>
        </w:rPr>
        <w:t>la je</w:t>
      </w:r>
      <w:r w:rsidR="00DF1470" w:rsidRPr="008A09A6">
        <w:rPr>
          <w:rFonts w:asciiTheme="minorHAnsi" w:hAnsiTheme="minorHAnsi" w:cstheme="minorHAnsi"/>
          <w:sz w:val="22"/>
          <w:szCs w:val="22"/>
        </w:rPr>
        <w:t xml:space="preserve"> </w:t>
      </w:r>
      <w:r w:rsidR="00AA7AED">
        <w:rPr>
          <w:rFonts w:asciiTheme="minorHAnsi" w:hAnsiTheme="minorHAnsi" w:cstheme="minorHAnsi"/>
          <w:sz w:val="22"/>
          <w:szCs w:val="22"/>
        </w:rPr>
        <w:t>3.351.988,57</w:t>
      </w:r>
      <w:r w:rsidR="00DF1470" w:rsidRPr="008A09A6">
        <w:rPr>
          <w:rFonts w:asciiTheme="minorHAnsi" w:hAnsiTheme="minorHAnsi" w:cstheme="minorHAnsi"/>
          <w:sz w:val="22"/>
          <w:szCs w:val="22"/>
        </w:rPr>
        <w:t xml:space="preserve"> kn koja je dostavljena Županijskom povjerenstvu.</w:t>
      </w:r>
      <w:r w:rsidR="00E9492B" w:rsidRPr="008A09A6">
        <w:rPr>
          <w:rFonts w:asciiTheme="minorHAnsi" w:hAnsiTheme="minorHAnsi" w:cstheme="minorHAnsi"/>
          <w:sz w:val="22"/>
          <w:szCs w:val="22"/>
        </w:rPr>
        <w:t xml:space="preserve"> </w:t>
      </w:r>
      <w:r w:rsidR="00B7515E">
        <w:rPr>
          <w:rFonts w:asciiTheme="minorHAnsi" w:hAnsiTheme="minorHAnsi" w:cstheme="minorHAnsi"/>
          <w:sz w:val="22"/>
          <w:szCs w:val="22"/>
        </w:rPr>
        <w:t>Sukladno O</w:t>
      </w:r>
      <w:r w:rsidR="00DF1470" w:rsidRPr="008A09A6">
        <w:rPr>
          <w:rFonts w:asciiTheme="minorHAnsi" w:hAnsiTheme="minorHAnsi" w:cstheme="minorHAnsi"/>
          <w:sz w:val="22"/>
          <w:szCs w:val="22"/>
        </w:rPr>
        <w:t>dlu</w:t>
      </w:r>
      <w:r w:rsidR="00B7515E">
        <w:rPr>
          <w:rFonts w:asciiTheme="minorHAnsi" w:hAnsiTheme="minorHAnsi" w:cstheme="minorHAnsi"/>
          <w:sz w:val="22"/>
          <w:szCs w:val="22"/>
        </w:rPr>
        <w:t>ci</w:t>
      </w:r>
      <w:r w:rsidR="00DF1470" w:rsidRPr="008A09A6">
        <w:rPr>
          <w:rFonts w:asciiTheme="minorHAnsi" w:hAnsiTheme="minorHAnsi" w:cstheme="minorHAnsi"/>
          <w:sz w:val="22"/>
          <w:szCs w:val="22"/>
        </w:rPr>
        <w:t xml:space="preserve"> Vlade Republike Hrvatske </w:t>
      </w:r>
      <w:r w:rsidR="00E9492B" w:rsidRPr="008A09A6">
        <w:rPr>
          <w:rFonts w:asciiTheme="minorHAnsi" w:hAnsiTheme="minorHAnsi" w:cstheme="minorHAnsi"/>
          <w:sz w:val="22"/>
          <w:szCs w:val="22"/>
        </w:rPr>
        <w:t>o dodjeli sredstava pomoći za ublažavanje i uklanjanje posljedica prirodnih nepogoda</w:t>
      </w:r>
      <w:r w:rsidR="00B7515E">
        <w:rPr>
          <w:rFonts w:asciiTheme="minorHAnsi" w:hAnsiTheme="minorHAnsi" w:cstheme="minorHAnsi"/>
          <w:sz w:val="22"/>
          <w:szCs w:val="22"/>
        </w:rPr>
        <w:t xml:space="preserve"> KLASA</w:t>
      </w:r>
      <w:r w:rsidR="008251B0">
        <w:rPr>
          <w:rFonts w:asciiTheme="minorHAnsi" w:hAnsiTheme="minorHAnsi" w:cstheme="minorHAnsi"/>
          <w:sz w:val="22"/>
          <w:szCs w:val="22"/>
        </w:rPr>
        <w:t>:</w:t>
      </w:r>
      <w:r w:rsidR="00B7515E">
        <w:rPr>
          <w:rFonts w:asciiTheme="minorHAnsi" w:hAnsiTheme="minorHAnsi" w:cstheme="minorHAnsi"/>
          <w:sz w:val="22"/>
          <w:szCs w:val="22"/>
        </w:rPr>
        <w:t>022-03/2</w:t>
      </w:r>
      <w:r w:rsidR="00CF5ED2">
        <w:rPr>
          <w:rFonts w:asciiTheme="minorHAnsi" w:hAnsiTheme="minorHAnsi" w:cstheme="minorHAnsi"/>
          <w:sz w:val="22"/>
          <w:szCs w:val="22"/>
        </w:rPr>
        <w:t>3</w:t>
      </w:r>
      <w:r w:rsidR="00B7515E">
        <w:rPr>
          <w:rFonts w:asciiTheme="minorHAnsi" w:hAnsiTheme="minorHAnsi" w:cstheme="minorHAnsi"/>
          <w:sz w:val="22"/>
          <w:szCs w:val="22"/>
        </w:rPr>
        <w:t>-04/</w:t>
      </w:r>
      <w:r w:rsidR="00CF5ED2">
        <w:rPr>
          <w:rFonts w:asciiTheme="minorHAnsi" w:hAnsiTheme="minorHAnsi" w:cstheme="minorHAnsi"/>
          <w:sz w:val="22"/>
          <w:szCs w:val="22"/>
        </w:rPr>
        <w:t>521</w:t>
      </w:r>
      <w:r w:rsidR="00B7515E">
        <w:rPr>
          <w:rFonts w:asciiTheme="minorHAnsi" w:hAnsiTheme="minorHAnsi" w:cstheme="minorHAnsi"/>
          <w:sz w:val="22"/>
          <w:szCs w:val="22"/>
        </w:rPr>
        <w:t xml:space="preserve">, </w:t>
      </w:r>
      <w:r w:rsidR="00963529">
        <w:rPr>
          <w:rFonts w:asciiTheme="minorHAnsi" w:hAnsiTheme="minorHAnsi" w:cstheme="minorHAnsi"/>
          <w:sz w:val="22"/>
          <w:szCs w:val="22"/>
        </w:rPr>
        <w:t xml:space="preserve">URBROJ: </w:t>
      </w:r>
      <w:r w:rsidR="00B7515E">
        <w:rPr>
          <w:rFonts w:asciiTheme="minorHAnsi" w:hAnsiTheme="minorHAnsi" w:cstheme="minorHAnsi"/>
          <w:sz w:val="22"/>
          <w:szCs w:val="22"/>
        </w:rPr>
        <w:t>50301-05/16-2</w:t>
      </w:r>
      <w:r w:rsidR="00CF5ED2">
        <w:rPr>
          <w:rFonts w:asciiTheme="minorHAnsi" w:hAnsiTheme="minorHAnsi" w:cstheme="minorHAnsi"/>
          <w:sz w:val="22"/>
          <w:szCs w:val="22"/>
        </w:rPr>
        <w:t>3</w:t>
      </w:r>
      <w:r w:rsidR="00B7515E">
        <w:rPr>
          <w:rFonts w:asciiTheme="minorHAnsi" w:hAnsiTheme="minorHAnsi" w:cstheme="minorHAnsi"/>
          <w:sz w:val="22"/>
          <w:szCs w:val="22"/>
        </w:rPr>
        <w:t>-</w:t>
      </w:r>
      <w:r w:rsidR="00CF5ED2">
        <w:rPr>
          <w:rFonts w:asciiTheme="minorHAnsi" w:hAnsiTheme="minorHAnsi" w:cstheme="minorHAnsi"/>
          <w:sz w:val="22"/>
          <w:szCs w:val="22"/>
        </w:rPr>
        <w:t>2</w:t>
      </w:r>
      <w:r w:rsidR="00B7515E">
        <w:rPr>
          <w:rFonts w:asciiTheme="minorHAnsi" w:hAnsiTheme="minorHAnsi" w:cstheme="minorHAnsi"/>
          <w:sz w:val="22"/>
          <w:szCs w:val="22"/>
        </w:rPr>
        <w:t xml:space="preserve"> od 2</w:t>
      </w:r>
      <w:r w:rsidR="00CF5ED2">
        <w:rPr>
          <w:rFonts w:asciiTheme="minorHAnsi" w:hAnsiTheme="minorHAnsi" w:cstheme="minorHAnsi"/>
          <w:sz w:val="22"/>
          <w:szCs w:val="22"/>
        </w:rPr>
        <w:t>1</w:t>
      </w:r>
      <w:r w:rsidR="00B7515E">
        <w:rPr>
          <w:rFonts w:asciiTheme="minorHAnsi" w:hAnsiTheme="minorHAnsi" w:cstheme="minorHAnsi"/>
          <w:sz w:val="22"/>
          <w:szCs w:val="22"/>
        </w:rPr>
        <w:t>.prosinca 202</w:t>
      </w:r>
      <w:r w:rsidR="00CF5ED2">
        <w:rPr>
          <w:rFonts w:asciiTheme="minorHAnsi" w:hAnsiTheme="minorHAnsi" w:cstheme="minorHAnsi"/>
          <w:sz w:val="22"/>
          <w:szCs w:val="22"/>
        </w:rPr>
        <w:t>3</w:t>
      </w:r>
      <w:r w:rsidR="00B7515E">
        <w:rPr>
          <w:rFonts w:asciiTheme="minorHAnsi" w:hAnsiTheme="minorHAnsi" w:cstheme="minorHAnsi"/>
          <w:sz w:val="22"/>
          <w:szCs w:val="22"/>
        </w:rPr>
        <w:t xml:space="preserve">. za Grad Čazmu nisu </w:t>
      </w:r>
      <w:r w:rsidR="008251B0">
        <w:rPr>
          <w:rFonts w:asciiTheme="minorHAnsi" w:hAnsiTheme="minorHAnsi" w:cstheme="minorHAnsi"/>
          <w:sz w:val="22"/>
          <w:szCs w:val="22"/>
        </w:rPr>
        <w:t>doznačena</w:t>
      </w:r>
      <w:r w:rsidR="00B7515E">
        <w:rPr>
          <w:rFonts w:asciiTheme="minorHAnsi" w:hAnsiTheme="minorHAnsi" w:cstheme="minorHAnsi"/>
          <w:sz w:val="22"/>
          <w:szCs w:val="22"/>
        </w:rPr>
        <w:t xml:space="preserve"> sredstva pomoći za ublažavanje i djelomično uklanjanje posljedica prirodnih nepogoda nastalih u 202</w:t>
      </w:r>
      <w:r w:rsidR="00CF5ED2">
        <w:rPr>
          <w:rFonts w:asciiTheme="minorHAnsi" w:hAnsiTheme="minorHAnsi" w:cstheme="minorHAnsi"/>
          <w:sz w:val="22"/>
          <w:szCs w:val="22"/>
        </w:rPr>
        <w:t>3</w:t>
      </w:r>
      <w:r w:rsidR="00B7515E">
        <w:rPr>
          <w:rFonts w:asciiTheme="minorHAnsi" w:hAnsiTheme="minorHAnsi" w:cstheme="minorHAnsi"/>
          <w:sz w:val="22"/>
          <w:szCs w:val="22"/>
        </w:rPr>
        <w:t>. te dijelom 202</w:t>
      </w:r>
      <w:r w:rsidR="00CF5ED2">
        <w:rPr>
          <w:rFonts w:asciiTheme="minorHAnsi" w:hAnsiTheme="minorHAnsi" w:cstheme="minorHAnsi"/>
          <w:sz w:val="22"/>
          <w:szCs w:val="22"/>
        </w:rPr>
        <w:t>2</w:t>
      </w:r>
      <w:r w:rsidR="00B7515E">
        <w:rPr>
          <w:rFonts w:asciiTheme="minorHAnsi" w:hAnsiTheme="minorHAnsi" w:cstheme="minorHAnsi"/>
          <w:sz w:val="22"/>
          <w:szCs w:val="22"/>
        </w:rPr>
        <w:t>. godini u Republici Hrvatskoj.</w:t>
      </w:r>
    </w:p>
    <w:p w14:paraId="7E8F2D1B" w14:textId="2B2E903E" w:rsidR="00B7515E" w:rsidRDefault="00B7515E" w:rsidP="00B7515E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  <w:r w:rsidRPr="00B7515E">
        <w:rPr>
          <w:rFonts w:asciiTheme="minorHAnsi" w:hAnsiTheme="minorHAnsi" w:cstheme="minorHAnsi"/>
          <w:sz w:val="22"/>
          <w:szCs w:val="22"/>
        </w:rPr>
        <w:t xml:space="preserve">Odluka o dodjeli sredstava pomoći </w:t>
      </w:r>
      <w:r w:rsidR="008251B0">
        <w:rPr>
          <w:rFonts w:asciiTheme="minorHAnsi" w:hAnsiTheme="minorHAnsi" w:cstheme="minorHAnsi"/>
          <w:sz w:val="22"/>
          <w:szCs w:val="22"/>
        </w:rPr>
        <w:t>(</w:t>
      </w:r>
      <w:r w:rsidR="00CF5ED2">
        <w:rPr>
          <w:rFonts w:asciiTheme="minorHAnsi" w:hAnsiTheme="minorHAnsi" w:cstheme="minorHAnsi"/>
          <w:sz w:val="22"/>
          <w:szCs w:val="22"/>
        </w:rPr>
        <w:t>KLASA:022-03/23-04/521, URBROJ: 50301-05/16-23-2 od 21. prosinca 2023.</w:t>
      </w:r>
      <w:r w:rsidR="008251B0">
        <w:rPr>
          <w:rFonts w:asciiTheme="minorHAnsi" w:hAnsiTheme="minorHAnsi" w:cstheme="minorHAnsi"/>
          <w:sz w:val="22"/>
          <w:szCs w:val="22"/>
        </w:rPr>
        <w:t xml:space="preserve">) </w:t>
      </w:r>
      <w:r w:rsidRPr="00B7515E">
        <w:rPr>
          <w:rFonts w:asciiTheme="minorHAnsi" w:hAnsiTheme="minorHAnsi" w:cstheme="minorHAnsi"/>
          <w:sz w:val="22"/>
          <w:szCs w:val="22"/>
        </w:rPr>
        <w:t>sastavni je dio ovog izvješća.</w:t>
      </w:r>
      <w:r w:rsidR="008251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72B675" w14:textId="77777777" w:rsidR="00B7515E" w:rsidRPr="00B7515E" w:rsidRDefault="00B7515E" w:rsidP="00B7515E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3615ED10" w14:textId="736F03EF" w:rsidR="00B7515E" w:rsidRPr="002F58BA" w:rsidRDefault="00B7515E" w:rsidP="002F58BA">
      <w:pPr>
        <w:jc w:val="both"/>
        <w:rPr>
          <w:rFonts w:asciiTheme="minorHAnsi" w:hAnsiTheme="minorHAnsi" w:cstheme="minorHAnsi"/>
          <w:sz w:val="22"/>
          <w:szCs w:val="22"/>
        </w:rPr>
      </w:pPr>
      <w:r w:rsidRPr="002F58BA">
        <w:rPr>
          <w:rFonts w:asciiTheme="minorHAnsi" w:hAnsiTheme="minorHAnsi" w:cstheme="minorHAnsi"/>
          <w:b/>
          <w:bCs/>
          <w:sz w:val="22"/>
          <w:szCs w:val="22"/>
        </w:rPr>
        <w:t>Prirodna nepogoda-o</w:t>
      </w:r>
      <w:r w:rsidR="00435512" w:rsidRPr="002F58BA">
        <w:rPr>
          <w:rFonts w:asciiTheme="minorHAnsi" w:hAnsiTheme="minorHAnsi" w:cstheme="minorHAnsi"/>
          <w:b/>
          <w:bCs/>
          <w:sz w:val="22"/>
          <w:szCs w:val="22"/>
        </w:rPr>
        <w:t>lujni i orkanski vjetar</w:t>
      </w:r>
      <w:r w:rsidRPr="002F58BA">
        <w:rPr>
          <w:rFonts w:asciiTheme="minorHAnsi" w:hAnsiTheme="minorHAnsi" w:cstheme="minorHAnsi"/>
          <w:sz w:val="22"/>
          <w:szCs w:val="22"/>
        </w:rPr>
        <w:t xml:space="preserve"> dogodio se </w:t>
      </w:r>
      <w:r w:rsidR="00435512" w:rsidRPr="002F58BA">
        <w:rPr>
          <w:rFonts w:asciiTheme="minorHAnsi" w:hAnsiTheme="minorHAnsi" w:cstheme="minorHAnsi"/>
          <w:sz w:val="22"/>
          <w:szCs w:val="22"/>
        </w:rPr>
        <w:t>15. rujna 2022. godine</w:t>
      </w:r>
      <w:r w:rsidRPr="002F58BA">
        <w:rPr>
          <w:rFonts w:asciiTheme="minorHAnsi" w:hAnsiTheme="minorHAnsi" w:cstheme="minorHAnsi"/>
          <w:sz w:val="22"/>
          <w:szCs w:val="22"/>
        </w:rPr>
        <w:t xml:space="preserve">, te je na prijedlog Gradskog povjerenstva za procjenu šteta od prirodnih nepogoda i gradonačelnika Grada Čazme, Župan </w:t>
      </w:r>
      <w:r w:rsidR="00434A22" w:rsidRPr="002F58BA">
        <w:rPr>
          <w:rFonts w:asciiTheme="minorHAnsi" w:hAnsiTheme="minorHAnsi" w:cstheme="minorHAnsi"/>
          <w:sz w:val="22"/>
          <w:szCs w:val="22"/>
        </w:rPr>
        <w:t>Bjelovarsko-bilogorske županije</w:t>
      </w:r>
      <w:r w:rsidRPr="002F58BA">
        <w:rPr>
          <w:rFonts w:asciiTheme="minorHAnsi" w:hAnsiTheme="minorHAnsi" w:cstheme="minorHAnsi"/>
          <w:sz w:val="22"/>
          <w:szCs w:val="22"/>
        </w:rPr>
        <w:t xml:space="preserve"> dana 21.</w:t>
      </w:r>
      <w:r w:rsidR="00434A22" w:rsidRPr="002F58BA">
        <w:rPr>
          <w:rFonts w:asciiTheme="minorHAnsi" w:hAnsiTheme="minorHAnsi" w:cstheme="minorHAnsi"/>
          <w:sz w:val="22"/>
          <w:szCs w:val="22"/>
        </w:rPr>
        <w:t xml:space="preserve"> rujna </w:t>
      </w:r>
      <w:r w:rsidRPr="002F58BA">
        <w:rPr>
          <w:rFonts w:asciiTheme="minorHAnsi" w:hAnsiTheme="minorHAnsi" w:cstheme="minorHAnsi"/>
          <w:sz w:val="22"/>
          <w:szCs w:val="22"/>
        </w:rPr>
        <w:t>202</w:t>
      </w:r>
      <w:r w:rsidR="00434A22" w:rsidRPr="002F58BA">
        <w:rPr>
          <w:rFonts w:asciiTheme="minorHAnsi" w:hAnsiTheme="minorHAnsi" w:cstheme="minorHAnsi"/>
          <w:sz w:val="22"/>
          <w:szCs w:val="22"/>
        </w:rPr>
        <w:t>2</w:t>
      </w:r>
      <w:r w:rsidRPr="002F58BA">
        <w:rPr>
          <w:rFonts w:asciiTheme="minorHAnsi" w:hAnsiTheme="minorHAnsi" w:cstheme="minorHAnsi"/>
          <w:sz w:val="22"/>
          <w:szCs w:val="22"/>
        </w:rPr>
        <w:t>. donio Odluku o proglašenju prirodne nepogode</w:t>
      </w:r>
      <w:r w:rsidR="00434A22" w:rsidRPr="002F58BA">
        <w:rPr>
          <w:rFonts w:asciiTheme="minorHAnsi" w:hAnsiTheme="minorHAnsi" w:cstheme="minorHAnsi"/>
          <w:sz w:val="22"/>
          <w:szCs w:val="22"/>
        </w:rPr>
        <w:t xml:space="preserve"> zbog olujnog i orkanskog vjetra</w:t>
      </w:r>
      <w:r w:rsidRPr="002F58BA">
        <w:rPr>
          <w:rFonts w:asciiTheme="minorHAnsi" w:hAnsiTheme="minorHAnsi" w:cstheme="minorHAnsi"/>
          <w:sz w:val="22"/>
          <w:szCs w:val="22"/>
        </w:rPr>
        <w:t xml:space="preserve"> Grad Čazmu (uz ostale gradove i općine)</w:t>
      </w:r>
      <w:r w:rsidR="00434A22" w:rsidRPr="002F58BA">
        <w:rPr>
          <w:rFonts w:asciiTheme="minorHAnsi" w:hAnsiTheme="minorHAnsi" w:cstheme="minorHAnsi"/>
          <w:sz w:val="22"/>
          <w:szCs w:val="22"/>
        </w:rPr>
        <w:t>, KLASA: 920-03/22-01/3, URBROJ: 2103-09-22-13.</w:t>
      </w:r>
    </w:p>
    <w:p w14:paraId="023452F6" w14:textId="3285C5CF" w:rsidR="00B7515E" w:rsidRPr="002F58BA" w:rsidRDefault="00434A22" w:rsidP="002F58BA">
      <w:pPr>
        <w:jc w:val="both"/>
        <w:rPr>
          <w:rFonts w:asciiTheme="minorHAnsi" w:hAnsiTheme="minorHAnsi" w:cstheme="minorHAnsi"/>
          <w:sz w:val="22"/>
          <w:szCs w:val="22"/>
        </w:rPr>
      </w:pPr>
      <w:r w:rsidRPr="002F58BA">
        <w:rPr>
          <w:rFonts w:asciiTheme="minorHAnsi" w:hAnsiTheme="minorHAnsi" w:cstheme="minorHAnsi"/>
          <w:sz w:val="22"/>
          <w:szCs w:val="22"/>
        </w:rPr>
        <w:t>U zakonskom roku od osam dana od dana proglašenja prirodne nepogode zaprimljeno je 325 prijava fizičkih i pravnih osoba za pretrpljenu štetu na stambenim i gospodarskim objektima, poljoprivrednim usjevima, javnoj infrastrukturi, opremi</w:t>
      </w:r>
      <w:r w:rsidR="003E66A4" w:rsidRPr="002F58BA">
        <w:rPr>
          <w:rFonts w:asciiTheme="minorHAnsi" w:hAnsiTheme="minorHAnsi" w:cstheme="minorHAnsi"/>
          <w:sz w:val="22"/>
          <w:szCs w:val="22"/>
        </w:rPr>
        <w:t xml:space="preserve"> i </w:t>
      </w:r>
      <w:r w:rsidRPr="002F58BA">
        <w:rPr>
          <w:rFonts w:asciiTheme="minorHAnsi" w:hAnsiTheme="minorHAnsi" w:cstheme="minorHAnsi"/>
          <w:sz w:val="22"/>
          <w:szCs w:val="22"/>
        </w:rPr>
        <w:t>š</w:t>
      </w:r>
      <w:r w:rsidR="003E66A4" w:rsidRPr="002F58BA">
        <w:rPr>
          <w:rFonts w:asciiTheme="minorHAnsi" w:hAnsiTheme="minorHAnsi" w:cstheme="minorHAnsi"/>
          <w:sz w:val="22"/>
          <w:szCs w:val="22"/>
        </w:rPr>
        <w:t>u</w:t>
      </w:r>
      <w:r w:rsidRPr="002F58BA">
        <w:rPr>
          <w:rFonts w:asciiTheme="minorHAnsi" w:hAnsiTheme="minorHAnsi" w:cstheme="minorHAnsi"/>
          <w:sz w:val="22"/>
          <w:szCs w:val="22"/>
        </w:rPr>
        <w:t>mama</w:t>
      </w:r>
      <w:r w:rsidR="003E66A4" w:rsidRPr="002F58BA">
        <w:rPr>
          <w:rFonts w:asciiTheme="minorHAnsi" w:hAnsiTheme="minorHAnsi" w:cstheme="minorHAnsi"/>
          <w:sz w:val="22"/>
          <w:szCs w:val="22"/>
        </w:rPr>
        <w:t xml:space="preserve">. Prijave pristigle izvan roka, nisu se </w:t>
      </w:r>
      <w:r w:rsidR="00C40273" w:rsidRPr="002F58BA">
        <w:rPr>
          <w:rFonts w:asciiTheme="minorHAnsi" w:hAnsiTheme="minorHAnsi" w:cstheme="minorHAnsi"/>
          <w:sz w:val="22"/>
          <w:szCs w:val="22"/>
        </w:rPr>
        <w:t>uzimale</w:t>
      </w:r>
      <w:r w:rsidR="003E66A4" w:rsidRPr="002F58BA">
        <w:rPr>
          <w:rFonts w:asciiTheme="minorHAnsi" w:hAnsiTheme="minorHAnsi" w:cstheme="minorHAnsi"/>
          <w:sz w:val="22"/>
          <w:szCs w:val="22"/>
        </w:rPr>
        <w:t xml:space="preserve"> u obzir kod obračuna. </w:t>
      </w:r>
      <w:r w:rsidR="00B7515E" w:rsidRPr="002F58BA">
        <w:rPr>
          <w:rFonts w:asciiTheme="minorHAnsi" w:hAnsiTheme="minorHAnsi" w:cstheme="minorHAnsi"/>
          <w:sz w:val="22"/>
          <w:szCs w:val="22"/>
        </w:rPr>
        <w:t>Sve prijave su pregledane i obračunat</w:t>
      </w:r>
      <w:r w:rsidR="00C40273" w:rsidRPr="002F58BA">
        <w:rPr>
          <w:rFonts w:asciiTheme="minorHAnsi" w:hAnsiTheme="minorHAnsi" w:cstheme="minorHAnsi"/>
          <w:sz w:val="22"/>
          <w:szCs w:val="22"/>
        </w:rPr>
        <w:t>a je</w:t>
      </w:r>
      <w:r w:rsidR="00B7515E" w:rsidRPr="002F58BA">
        <w:rPr>
          <w:rFonts w:asciiTheme="minorHAnsi" w:hAnsiTheme="minorHAnsi" w:cstheme="minorHAnsi"/>
          <w:sz w:val="22"/>
          <w:szCs w:val="22"/>
        </w:rPr>
        <w:t xml:space="preserve"> štete na istima, te je Županijskom povjerenstvu </w:t>
      </w:r>
      <w:r w:rsidR="008251B0" w:rsidRPr="002F58BA">
        <w:rPr>
          <w:rFonts w:asciiTheme="minorHAnsi" w:hAnsiTheme="minorHAnsi" w:cstheme="minorHAnsi"/>
          <w:sz w:val="22"/>
          <w:szCs w:val="22"/>
        </w:rPr>
        <w:t xml:space="preserve">putem platforme APIS </w:t>
      </w:r>
      <w:r w:rsidR="00B7515E" w:rsidRPr="002F58BA">
        <w:rPr>
          <w:rFonts w:asciiTheme="minorHAnsi" w:hAnsiTheme="minorHAnsi" w:cstheme="minorHAnsi"/>
          <w:sz w:val="22"/>
          <w:szCs w:val="22"/>
        </w:rPr>
        <w:t xml:space="preserve">dostavljen obračun šteta u iznosu od </w:t>
      </w:r>
      <w:r w:rsidR="008251B0" w:rsidRPr="002F58BA">
        <w:rPr>
          <w:rFonts w:asciiTheme="minorHAnsi" w:hAnsiTheme="minorHAnsi" w:cstheme="minorHAnsi"/>
          <w:sz w:val="22"/>
          <w:szCs w:val="22"/>
        </w:rPr>
        <w:t>20.605.688,97</w:t>
      </w:r>
      <w:r w:rsidR="00B7515E" w:rsidRPr="002F58BA">
        <w:rPr>
          <w:rFonts w:asciiTheme="minorHAnsi" w:hAnsiTheme="minorHAnsi" w:cstheme="minorHAnsi"/>
          <w:sz w:val="22"/>
          <w:szCs w:val="22"/>
        </w:rPr>
        <w:t xml:space="preserve"> kn za fizičke i pravne osobe</w:t>
      </w:r>
      <w:r w:rsidR="008251B0" w:rsidRPr="002F58BA">
        <w:rPr>
          <w:rFonts w:asciiTheme="minorHAnsi" w:hAnsiTheme="minorHAnsi" w:cstheme="minorHAnsi"/>
          <w:sz w:val="22"/>
          <w:szCs w:val="22"/>
        </w:rPr>
        <w:t>. Uvidom u priložene police osiguranja objekata, opreme i</w:t>
      </w:r>
      <w:r w:rsidR="00B7515E" w:rsidRPr="002F58BA">
        <w:rPr>
          <w:rFonts w:asciiTheme="minorHAnsi" w:hAnsiTheme="minorHAnsi" w:cstheme="minorHAnsi"/>
          <w:sz w:val="22"/>
          <w:szCs w:val="22"/>
        </w:rPr>
        <w:t xml:space="preserve"> </w:t>
      </w:r>
      <w:r w:rsidR="008251B0" w:rsidRPr="002F58BA">
        <w:rPr>
          <w:rFonts w:asciiTheme="minorHAnsi" w:hAnsiTheme="minorHAnsi" w:cstheme="minorHAnsi"/>
          <w:sz w:val="22"/>
          <w:szCs w:val="22"/>
        </w:rPr>
        <w:t xml:space="preserve">vozila, </w:t>
      </w:r>
      <w:r w:rsidR="00C40273" w:rsidRPr="002F58BA">
        <w:rPr>
          <w:rFonts w:asciiTheme="minorHAnsi" w:hAnsiTheme="minorHAnsi" w:cstheme="minorHAnsi"/>
          <w:sz w:val="22"/>
          <w:szCs w:val="22"/>
        </w:rPr>
        <w:t xml:space="preserve">izvršena je korekcija prijavljenog iznosa te je </w:t>
      </w:r>
      <w:r w:rsidR="008251B0" w:rsidRPr="002F58BA">
        <w:rPr>
          <w:rFonts w:asciiTheme="minorHAnsi" w:hAnsiTheme="minorHAnsi" w:cstheme="minorHAnsi"/>
          <w:sz w:val="22"/>
          <w:szCs w:val="22"/>
        </w:rPr>
        <w:t xml:space="preserve">Župan </w:t>
      </w:r>
      <w:r w:rsidR="00C40273" w:rsidRPr="002F58BA">
        <w:rPr>
          <w:rFonts w:asciiTheme="minorHAnsi" w:hAnsiTheme="minorHAnsi" w:cstheme="minorHAnsi"/>
          <w:sz w:val="22"/>
          <w:szCs w:val="22"/>
        </w:rPr>
        <w:t>B</w:t>
      </w:r>
      <w:r w:rsidR="008251B0" w:rsidRPr="002F58BA">
        <w:rPr>
          <w:rFonts w:asciiTheme="minorHAnsi" w:hAnsiTheme="minorHAnsi" w:cstheme="minorHAnsi"/>
          <w:sz w:val="22"/>
          <w:szCs w:val="22"/>
        </w:rPr>
        <w:t>jelovarsko</w:t>
      </w:r>
      <w:r w:rsidR="00C40273" w:rsidRPr="002F58BA">
        <w:rPr>
          <w:rFonts w:asciiTheme="minorHAnsi" w:hAnsiTheme="minorHAnsi" w:cstheme="minorHAnsi"/>
          <w:sz w:val="22"/>
          <w:szCs w:val="22"/>
        </w:rPr>
        <w:t>-</w:t>
      </w:r>
      <w:r w:rsidR="008251B0" w:rsidRPr="002F58BA">
        <w:rPr>
          <w:rFonts w:asciiTheme="minorHAnsi" w:hAnsiTheme="minorHAnsi" w:cstheme="minorHAnsi"/>
          <w:sz w:val="22"/>
          <w:szCs w:val="22"/>
        </w:rPr>
        <w:t xml:space="preserve">bilogorske županije </w:t>
      </w:r>
      <w:r w:rsidR="00C40273" w:rsidRPr="002F58BA">
        <w:rPr>
          <w:rFonts w:asciiTheme="minorHAnsi" w:hAnsiTheme="minorHAnsi" w:cstheme="minorHAnsi"/>
          <w:sz w:val="22"/>
          <w:szCs w:val="22"/>
        </w:rPr>
        <w:t>donio</w:t>
      </w:r>
      <w:r w:rsidR="008251B0" w:rsidRPr="002F58BA">
        <w:rPr>
          <w:rFonts w:asciiTheme="minorHAnsi" w:hAnsiTheme="minorHAnsi" w:cstheme="minorHAnsi"/>
          <w:sz w:val="22"/>
          <w:szCs w:val="22"/>
        </w:rPr>
        <w:t xml:space="preserve"> </w:t>
      </w:r>
      <w:r w:rsidR="00C40273" w:rsidRPr="002F58BA">
        <w:rPr>
          <w:rFonts w:asciiTheme="minorHAnsi" w:hAnsiTheme="minorHAnsi" w:cstheme="minorHAnsi"/>
          <w:sz w:val="22"/>
          <w:szCs w:val="22"/>
        </w:rPr>
        <w:t>O</w:t>
      </w:r>
      <w:r w:rsidR="008251B0" w:rsidRPr="002F58BA">
        <w:rPr>
          <w:rFonts w:asciiTheme="minorHAnsi" w:hAnsiTheme="minorHAnsi" w:cstheme="minorHAnsi"/>
          <w:sz w:val="22"/>
          <w:szCs w:val="22"/>
        </w:rPr>
        <w:t>dluk</w:t>
      </w:r>
      <w:r w:rsidR="00C40273" w:rsidRPr="002F58BA">
        <w:rPr>
          <w:rFonts w:asciiTheme="minorHAnsi" w:hAnsiTheme="minorHAnsi" w:cstheme="minorHAnsi"/>
          <w:sz w:val="22"/>
          <w:szCs w:val="22"/>
        </w:rPr>
        <w:t>u</w:t>
      </w:r>
      <w:r w:rsidR="008251B0" w:rsidRPr="002F58BA">
        <w:rPr>
          <w:rFonts w:asciiTheme="minorHAnsi" w:hAnsiTheme="minorHAnsi" w:cstheme="minorHAnsi"/>
          <w:sz w:val="22"/>
          <w:szCs w:val="22"/>
        </w:rPr>
        <w:t xml:space="preserve"> o dodjeli sredstava pomoći</w:t>
      </w:r>
      <w:r w:rsidR="00C40273" w:rsidRPr="002F58BA">
        <w:rPr>
          <w:rFonts w:asciiTheme="minorHAnsi" w:hAnsiTheme="minorHAnsi" w:cstheme="minorHAnsi"/>
          <w:sz w:val="22"/>
          <w:szCs w:val="22"/>
        </w:rPr>
        <w:t xml:space="preserve"> za ublažavanje i uklanjanje posljedica prirodne nepogode nastale u rujnu 2022. godine kojom je Gradu Čazmi raspoređen iznos do 1.781.345,90 eura (13.421.550,72 kune)</w:t>
      </w:r>
    </w:p>
    <w:p w14:paraId="08290413" w14:textId="77777777" w:rsidR="002F58BA" w:rsidRDefault="002F58BA" w:rsidP="00B7515E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510274C2" w14:textId="5946B20A" w:rsidR="00C40273" w:rsidRDefault="00C40273" w:rsidP="00B7515E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Raspored sredstava po sektorima vidljiv je u priloženoj tablici:</w:t>
      </w:r>
    </w:p>
    <w:tbl>
      <w:tblPr>
        <w:tblStyle w:val="Reetkatablice"/>
        <w:tblW w:w="8373" w:type="dxa"/>
        <w:jc w:val="center"/>
        <w:tblLayout w:type="fixed"/>
        <w:tblLook w:val="04A0" w:firstRow="1" w:lastRow="0" w:firstColumn="1" w:lastColumn="0" w:noHBand="0" w:noVBand="1"/>
      </w:tblPr>
      <w:tblGrid>
        <w:gridCol w:w="1286"/>
        <w:gridCol w:w="1275"/>
        <w:gridCol w:w="1134"/>
        <w:gridCol w:w="1276"/>
        <w:gridCol w:w="992"/>
        <w:gridCol w:w="1134"/>
        <w:gridCol w:w="1276"/>
      </w:tblGrid>
      <w:tr w:rsidR="00C97460" w14:paraId="0945CBDF" w14:textId="77777777" w:rsidTr="00C97460">
        <w:trPr>
          <w:jc w:val="center"/>
        </w:trPr>
        <w:tc>
          <w:tcPr>
            <w:tcW w:w="1286" w:type="dxa"/>
            <w:vAlign w:val="center"/>
          </w:tcPr>
          <w:p w14:paraId="1EE875B1" w14:textId="77777777" w:rsidR="00C97460" w:rsidRPr="009468D0" w:rsidRDefault="00C97460" w:rsidP="006C58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468D0">
              <w:rPr>
                <w:rFonts w:cstheme="minorHAnsi"/>
                <w:sz w:val="16"/>
                <w:szCs w:val="16"/>
              </w:rPr>
              <w:t>stambeni i gospodarski objekti</w:t>
            </w:r>
          </w:p>
        </w:tc>
        <w:tc>
          <w:tcPr>
            <w:tcW w:w="1275" w:type="dxa"/>
            <w:vAlign w:val="center"/>
          </w:tcPr>
          <w:p w14:paraId="56F7C08C" w14:textId="77777777" w:rsidR="00C97460" w:rsidRPr="009468D0" w:rsidRDefault="00C97460" w:rsidP="006C58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468D0">
              <w:rPr>
                <w:rFonts w:cstheme="minorHAnsi"/>
                <w:sz w:val="16"/>
                <w:szCs w:val="16"/>
              </w:rPr>
              <w:t>poljoprivreda</w:t>
            </w:r>
          </w:p>
        </w:tc>
        <w:tc>
          <w:tcPr>
            <w:tcW w:w="1134" w:type="dxa"/>
            <w:vAlign w:val="center"/>
          </w:tcPr>
          <w:p w14:paraId="79A28C01" w14:textId="77777777" w:rsidR="00C97460" w:rsidRPr="009468D0" w:rsidRDefault="00C97460" w:rsidP="006C58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468D0">
              <w:rPr>
                <w:rFonts w:cstheme="minorHAnsi"/>
                <w:sz w:val="16"/>
                <w:szCs w:val="16"/>
              </w:rPr>
              <w:t>javna infrastruktura</w:t>
            </w:r>
          </w:p>
        </w:tc>
        <w:tc>
          <w:tcPr>
            <w:tcW w:w="1276" w:type="dxa"/>
            <w:vAlign w:val="center"/>
          </w:tcPr>
          <w:p w14:paraId="6BE1F7B3" w14:textId="77777777" w:rsidR="00C97460" w:rsidRPr="009468D0" w:rsidRDefault="00C97460" w:rsidP="006C58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468D0">
              <w:rPr>
                <w:rFonts w:cstheme="minorHAnsi"/>
                <w:sz w:val="16"/>
                <w:szCs w:val="16"/>
              </w:rPr>
              <w:t>oprema</w:t>
            </w:r>
          </w:p>
        </w:tc>
        <w:tc>
          <w:tcPr>
            <w:tcW w:w="992" w:type="dxa"/>
            <w:vAlign w:val="center"/>
          </w:tcPr>
          <w:p w14:paraId="56E87940" w14:textId="77777777" w:rsidR="00C97460" w:rsidRPr="009468D0" w:rsidRDefault="00C97460" w:rsidP="006C58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468D0">
              <w:rPr>
                <w:rFonts w:cstheme="minorHAnsi"/>
                <w:sz w:val="16"/>
                <w:szCs w:val="16"/>
              </w:rPr>
              <w:t>šume</w:t>
            </w:r>
          </w:p>
        </w:tc>
        <w:tc>
          <w:tcPr>
            <w:tcW w:w="1134" w:type="dxa"/>
            <w:vAlign w:val="center"/>
          </w:tcPr>
          <w:p w14:paraId="2F806365" w14:textId="77777777" w:rsidR="00C97460" w:rsidRPr="009468D0" w:rsidRDefault="00C97460" w:rsidP="006C58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468D0">
              <w:rPr>
                <w:rFonts w:cstheme="minorHAnsi"/>
                <w:sz w:val="16"/>
                <w:szCs w:val="16"/>
              </w:rPr>
              <w:t>opći troškovi</w:t>
            </w:r>
          </w:p>
        </w:tc>
        <w:tc>
          <w:tcPr>
            <w:tcW w:w="1276" w:type="dxa"/>
            <w:vAlign w:val="center"/>
          </w:tcPr>
          <w:p w14:paraId="6B71D6AE" w14:textId="77777777" w:rsidR="00C97460" w:rsidRPr="009468D0" w:rsidRDefault="00C97460" w:rsidP="006C58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468D0">
              <w:rPr>
                <w:rFonts w:cstheme="minorHAnsi"/>
                <w:sz w:val="16"/>
                <w:szCs w:val="16"/>
              </w:rPr>
              <w:t>ukupno</w:t>
            </w:r>
          </w:p>
        </w:tc>
      </w:tr>
      <w:tr w:rsidR="00C97460" w14:paraId="4C065806" w14:textId="77777777" w:rsidTr="00C97460">
        <w:trPr>
          <w:trHeight w:val="723"/>
          <w:jc w:val="center"/>
        </w:trPr>
        <w:tc>
          <w:tcPr>
            <w:tcW w:w="1286" w:type="dxa"/>
            <w:vAlign w:val="center"/>
          </w:tcPr>
          <w:p w14:paraId="18FF7F11" w14:textId="77777777" w:rsidR="00C97460" w:rsidRPr="00477780" w:rsidRDefault="00C97460" w:rsidP="006C585D">
            <w:pPr>
              <w:ind w:left="-110" w:right="-11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77780">
              <w:rPr>
                <w:rFonts w:cstheme="minorHAnsi"/>
                <w:b/>
                <w:bCs/>
                <w:sz w:val="16"/>
                <w:szCs w:val="16"/>
              </w:rPr>
              <w:t>1.104.967,94 EUR</w:t>
            </w:r>
          </w:p>
          <w:p w14:paraId="1CBA5D8F" w14:textId="77777777" w:rsidR="00C97460" w:rsidRPr="00477780" w:rsidRDefault="00C97460" w:rsidP="006C585D">
            <w:pPr>
              <w:spacing w:before="240"/>
              <w:ind w:left="-110" w:right="-11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77780">
              <w:rPr>
                <w:rFonts w:cstheme="minorHAnsi"/>
                <w:b/>
                <w:bCs/>
                <w:sz w:val="16"/>
                <w:szCs w:val="16"/>
              </w:rPr>
              <w:t>(8.325.380,96 kn)</w:t>
            </w:r>
          </w:p>
        </w:tc>
        <w:tc>
          <w:tcPr>
            <w:tcW w:w="1275" w:type="dxa"/>
            <w:vAlign w:val="center"/>
          </w:tcPr>
          <w:p w14:paraId="34A3FB23" w14:textId="77777777" w:rsidR="00C97460" w:rsidRPr="00477780" w:rsidRDefault="00C97460" w:rsidP="006C585D">
            <w:pPr>
              <w:ind w:left="-109" w:right="-11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77780">
              <w:rPr>
                <w:rFonts w:cstheme="minorHAnsi"/>
                <w:b/>
                <w:bCs/>
                <w:sz w:val="16"/>
                <w:szCs w:val="16"/>
              </w:rPr>
              <w:t>228.568,90 EUR</w:t>
            </w:r>
          </w:p>
          <w:p w14:paraId="11E62C6F" w14:textId="77777777" w:rsidR="00C97460" w:rsidRPr="00477780" w:rsidRDefault="00C97460" w:rsidP="006C585D">
            <w:pPr>
              <w:spacing w:before="240"/>
              <w:ind w:left="-109" w:right="-11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77780">
              <w:rPr>
                <w:rFonts w:cstheme="minorHAnsi"/>
                <w:b/>
                <w:bCs/>
                <w:sz w:val="16"/>
                <w:szCs w:val="16"/>
              </w:rPr>
              <w:t>(1.722.152,36 kn)</w:t>
            </w:r>
          </w:p>
        </w:tc>
        <w:tc>
          <w:tcPr>
            <w:tcW w:w="1134" w:type="dxa"/>
            <w:vAlign w:val="center"/>
          </w:tcPr>
          <w:p w14:paraId="46435313" w14:textId="77777777" w:rsidR="00C97460" w:rsidRPr="00477780" w:rsidRDefault="00C97460" w:rsidP="006C585D">
            <w:pPr>
              <w:ind w:left="-107" w:right="-11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77780">
              <w:rPr>
                <w:rFonts w:cstheme="minorHAnsi"/>
                <w:b/>
                <w:bCs/>
                <w:sz w:val="16"/>
                <w:szCs w:val="16"/>
              </w:rPr>
              <w:t>56.780,22 EUR</w:t>
            </w:r>
          </w:p>
          <w:p w14:paraId="1FD6D4F3" w14:textId="77777777" w:rsidR="00C97460" w:rsidRPr="00477780" w:rsidRDefault="00C97460" w:rsidP="006C585D">
            <w:pPr>
              <w:spacing w:before="240"/>
              <w:ind w:left="-107" w:right="-11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77780">
              <w:rPr>
                <w:rFonts w:cstheme="minorHAnsi"/>
                <w:b/>
                <w:bCs/>
                <w:sz w:val="16"/>
                <w:szCs w:val="16"/>
              </w:rPr>
              <w:t>(427.810,56 kn)</w:t>
            </w:r>
          </w:p>
        </w:tc>
        <w:tc>
          <w:tcPr>
            <w:tcW w:w="1276" w:type="dxa"/>
            <w:vAlign w:val="center"/>
          </w:tcPr>
          <w:p w14:paraId="0FB427FA" w14:textId="77777777" w:rsidR="00C97460" w:rsidRPr="00477780" w:rsidRDefault="00C97460" w:rsidP="006C585D">
            <w:pPr>
              <w:ind w:left="-105" w:right="-11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77780">
              <w:rPr>
                <w:rFonts w:cstheme="minorHAnsi"/>
                <w:b/>
                <w:bCs/>
                <w:sz w:val="16"/>
                <w:szCs w:val="16"/>
              </w:rPr>
              <w:t>376.475,99 EUR</w:t>
            </w:r>
          </w:p>
          <w:p w14:paraId="0D6E500E" w14:textId="77777777" w:rsidR="00C97460" w:rsidRPr="00477780" w:rsidRDefault="00C97460" w:rsidP="006C585D">
            <w:pPr>
              <w:spacing w:before="240"/>
              <w:ind w:left="-105" w:right="-11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77780">
              <w:rPr>
                <w:rFonts w:cstheme="minorHAnsi"/>
                <w:b/>
                <w:bCs/>
                <w:sz w:val="16"/>
                <w:szCs w:val="16"/>
              </w:rPr>
              <w:t>(2.836.558,34 kn)</w:t>
            </w:r>
          </w:p>
        </w:tc>
        <w:tc>
          <w:tcPr>
            <w:tcW w:w="992" w:type="dxa"/>
            <w:vAlign w:val="center"/>
          </w:tcPr>
          <w:p w14:paraId="5C01DF55" w14:textId="77777777" w:rsidR="00C97460" w:rsidRPr="00477780" w:rsidRDefault="00C97460" w:rsidP="006C585D">
            <w:pPr>
              <w:ind w:left="-104" w:right="-11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77780">
              <w:rPr>
                <w:rFonts w:cstheme="minorHAnsi"/>
                <w:b/>
                <w:bCs/>
                <w:sz w:val="16"/>
                <w:szCs w:val="16"/>
              </w:rPr>
              <w:t>2.724,93 EUR</w:t>
            </w:r>
          </w:p>
          <w:p w14:paraId="4EE1AD33" w14:textId="77777777" w:rsidR="00C97460" w:rsidRPr="00477780" w:rsidRDefault="00C97460" w:rsidP="006C585D">
            <w:pPr>
              <w:spacing w:before="240"/>
              <w:ind w:left="-104" w:right="-11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77780">
              <w:rPr>
                <w:rFonts w:cstheme="minorHAnsi"/>
                <w:b/>
                <w:bCs/>
                <w:sz w:val="16"/>
                <w:szCs w:val="16"/>
              </w:rPr>
              <w:t>(20.531,00 kn)</w:t>
            </w:r>
          </w:p>
        </w:tc>
        <w:tc>
          <w:tcPr>
            <w:tcW w:w="1134" w:type="dxa"/>
            <w:vAlign w:val="center"/>
          </w:tcPr>
          <w:p w14:paraId="42BE57E4" w14:textId="77777777" w:rsidR="00C97460" w:rsidRPr="00477780" w:rsidRDefault="00C97460" w:rsidP="006C585D">
            <w:pPr>
              <w:ind w:left="-104" w:right="-11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77780">
              <w:rPr>
                <w:rFonts w:cstheme="minorHAnsi"/>
                <w:b/>
                <w:bCs/>
                <w:sz w:val="16"/>
                <w:szCs w:val="16"/>
              </w:rPr>
              <w:t>11.827,92 EUR</w:t>
            </w:r>
          </w:p>
          <w:p w14:paraId="1B3EA1EB" w14:textId="77777777" w:rsidR="00C97460" w:rsidRPr="00477780" w:rsidRDefault="00C97460" w:rsidP="006C585D">
            <w:pPr>
              <w:spacing w:before="240"/>
              <w:ind w:left="-104" w:right="-11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77780">
              <w:rPr>
                <w:rFonts w:cstheme="minorHAnsi"/>
                <w:b/>
                <w:bCs/>
                <w:sz w:val="16"/>
                <w:szCs w:val="16"/>
              </w:rPr>
              <w:t>(89.117,50 kn)</w:t>
            </w:r>
          </w:p>
        </w:tc>
        <w:tc>
          <w:tcPr>
            <w:tcW w:w="1276" w:type="dxa"/>
            <w:vAlign w:val="center"/>
          </w:tcPr>
          <w:p w14:paraId="4CD670EA" w14:textId="77777777" w:rsidR="00C97460" w:rsidRPr="00477780" w:rsidRDefault="00C97460" w:rsidP="006C585D">
            <w:pPr>
              <w:ind w:left="-104" w:right="-11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77780">
              <w:rPr>
                <w:rFonts w:cstheme="minorHAnsi"/>
                <w:b/>
                <w:bCs/>
                <w:sz w:val="16"/>
                <w:szCs w:val="16"/>
              </w:rPr>
              <w:t>1.781.345,90 EUR</w:t>
            </w:r>
          </w:p>
          <w:p w14:paraId="59B691DB" w14:textId="77777777" w:rsidR="00C97460" w:rsidRPr="00477780" w:rsidRDefault="00C97460" w:rsidP="006C585D">
            <w:pPr>
              <w:spacing w:before="240"/>
              <w:ind w:left="-104" w:right="-11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77780">
              <w:rPr>
                <w:rFonts w:cstheme="minorHAnsi"/>
                <w:b/>
                <w:bCs/>
                <w:sz w:val="16"/>
                <w:szCs w:val="16"/>
              </w:rPr>
              <w:t>(13.421.550,72 kn)</w:t>
            </w:r>
          </w:p>
        </w:tc>
      </w:tr>
    </w:tbl>
    <w:p w14:paraId="741F4773" w14:textId="77777777" w:rsidR="00C40273" w:rsidRPr="008A09A6" w:rsidRDefault="00C40273" w:rsidP="00B7515E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2C5F5A2C" w14:textId="795245D5" w:rsidR="00B7515E" w:rsidRPr="0029621B" w:rsidRDefault="00713B9B" w:rsidP="0029621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Sa 31. prosincem</w:t>
      </w:r>
      <w:r w:rsidR="00C97460" w:rsidRPr="00C97460">
        <w:rPr>
          <w:rFonts w:asciiTheme="minorHAnsi" w:hAnsiTheme="minorHAnsi" w:cstheme="minorHAnsi"/>
          <w:sz w:val="22"/>
          <w:szCs w:val="22"/>
        </w:rPr>
        <w:t xml:space="preserve"> 2023. godine na račun </w:t>
      </w:r>
      <w:r w:rsidR="00C97460">
        <w:rPr>
          <w:rFonts w:asciiTheme="minorHAnsi" w:hAnsiTheme="minorHAnsi" w:cstheme="minorHAnsi"/>
          <w:sz w:val="22"/>
          <w:szCs w:val="22"/>
        </w:rPr>
        <w:t xml:space="preserve">Grada Čazme doznačena su sredstva </w:t>
      </w:r>
      <w:r>
        <w:rPr>
          <w:rFonts w:asciiTheme="minorHAnsi" w:hAnsiTheme="minorHAnsi" w:cstheme="minorHAnsi"/>
          <w:sz w:val="22"/>
          <w:szCs w:val="22"/>
        </w:rPr>
        <w:t>u iznosu</w:t>
      </w:r>
      <w:r w:rsidR="00C97460">
        <w:rPr>
          <w:rFonts w:asciiTheme="minorHAnsi" w:hAnsiTheme="minorHAnsi" w:cstheme="minorHAnsi"/>
          <w:sz w:val="22"/>
          <w:szCs w:val="22"/>
        </w:rPr>
        <w:t xml:space="preserve"> od </w:t>
      </w:r>
      <w:r>
        <w:rPr>
          <w:rFonts w:asciiTheme="minorHAnsi" w:hAnsiTheme="minorHAnsi" w:cstheme="minorHAnsi"/>
          <w:sz w:val="22"/>
          <w:szCs w:val="22"/>
        </w:rPr>
        <w:t>1.399.726,85</w:t>
      </w:r>
      <w:r w:rsidR="00C97460">
        <w:rPr>
          <w:rFonts w:asciiTheme="minorHAnsi" w:hAnsiTheme="minorHAnsi" w:cstheme="minorHAnsi"/>
          <w:sz w:val="22"/>
          <w:szCs w:val="22"/>
        </w:rPr>
        <w:t xml:space="preserve"> eura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29621B">
        <w:rPr>
          <w:rFonts w:asciiTheme="minorHAnsi" w:hAnsiTheme="minorHAnsi" w:cstheme="minorHAnsi"/>
          <w:sz w:val="22"/>
          <w:szCs w:val="22"/>
        </w:rPr>
        <w:t xml:space="preserve">Navedena sredstva </w:t>
      </w:r>
      <w:r w:rsidR="00C97460" w:rsidRPr="0029621B">
        <w:rPr>
          <w:rFonts w:asciiTheme="minorHAnsi" w:hAnsiTheme="minorHAnsi" w:cstheme="minorHAnsi"/>
          <w:sz w:val="22"/>
          <w:szCs w:val="22"/>
        </w:rPr>
        <w:t>upla</w:t>
      </w:r>
      <w:r w:rsidR="00BD0FFD" w:rsidRPr="0029621B">
        <w:rPr>
          <w:rFonts w:asciiTheme="minorHAnsi" w:hAnsiTheme="minorHAnsi" w:cstheme="minorHAnsi"/>
          <w:sz w:val="22"/>
          <w:szCs w:val="22"/>
        </w:rPr>
        <w:t>ć</w:t>
      </w:r>
      <w:r w:rsidR="00C97460" w:rsidRPr="0029621B">
        <w:rPr>
          <w:rFonts w:asciiTheme="minorHAnsi" w:hAnsiTheme="minorHAnsi" w:cstheme="minorHAnsi"/>
          <w:sz w:val="22"/>
          <w:szCs w:val="22"/>
        </w:rPr>
        <w:t>e</w:t>
      </w:r>
      <w:r w:rsidRPr="0029621B">
        <w:rPr>
          <w:rFonts w:asciiTheme="minorHAnsi" w:hAnsiTheme="minorHAnsi" w:cstheme="minorHAnsi"/>
          <w:sz w:val="22"/>
          <w:szCs w:val="22"/>
        </w:rPr>
        <w:t>na su</w:t>
      </w:r>
      <w:r w:rsidR="00C97460" w:rsidRPr="0029621B">
        <w:rPr>
          <w:rFonts w:asciiTheme="minorHAnsi" w:hAnsiTheme="minorHAnsi" w:cstheme="minorHAnsi"/>
          <w:sz w:val="22"/>
          <w:szCs w:val="22"/>
        </w:rPr>
        <w:t xml:space="preserve"> ošte</w:t>
      </w:r>
      <w:r w:rsidR="00BD0FFD" w:rsidRPr="0029621B">
        <w:rPr>
          <w:rFonts w:asciiTheme="minorHAnsi" w:hAnsiTheme="minorHAnsi" w:cstheme="minorHAnsi"/>
          <w:sz w:val="22"/>
          <w:szCs w:val="22"/>
        </w:rPr>
        <w:t>ć</w:t>
      </w:r>
      <w:r w:rsidR="00C97460" w:rsidRPr="0029621B">
        <w:rPr>
          <w:rFonts w:asciiTheme="minorHAnsi" w:hAnsiTheme="minorHAnsi" w:cstheme="minorHAnsi"/>
          <w:sz w:val="22"/>
          <w:szCs w:val="22"/>
        </w:rPr>
        <w:t xml:space="preserve">enicima </w:t>
      </w:r>
      <w:r w:rsidRPr="0029621B">
        <w:rPr>
          <w:rFonts w:asciiTheme="minorHAnsi" w:hAnsiTheme="minorHAnsi" w:cstheme="minorHAnsi"/>
          <w:sz w:val="22"/>
          <w:szCs w:val="22"/>
        </w:rPr>
        <w:t xml:space="preserve">sukladno Odlukama o </w:t>
      </w:r>
      <w:r w:rsidR="0029621B" w:rsidRPr="0029621B">
        <w:rPr>
          <w:rFonts w:asciiTheme="minorHAnsi" w:eastAsiaTheme="minorHAnsi" w:hAnsiTheme="minorHAnsi" w:cstheme="minorHAnsi"/>
          <w:sz w:val="22"/>
          <w:szCs w:val="22"/>
          <w:lang w:eastAsia="en-US"/>
        </w:rPr>
        <w:t>dodjeli sredstava pomoći za ublažavan</w:t>
      </w:r>
      <w:r w:rsidR="002962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 i </w:t>
      </w:r>
      <w:r w:rsidR="0029621B" w:rsidRPr="0029621B">
        <w:rPr>
          <w:rFonts w:asciiTheme="minorHAnsi" w:eastAsiaTheme="minorHAnsi" w:hAnsiTheme="minorHAnsi" w:cstheme="minorHAnsi"/>
          <w:sz w:val="22"/>
          <w:szCs w:val="22"/>
          <w:lang w:eastAsia="en-US"/>
        </w:rPr>
        <w:t>uklanjanje posljedica prirodne nepogode nastale u rujnu</w:t>
      </w:r>
      <w:r w:rsidR="002962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29621B" w:rsidRPr="0029621B">
        <w:rPr>
          <w:rFonts w:asciiTheme="minorHAnsi" w:eastAsiaTheme="minorHAnsi" w:hAnsiTheme="minorHAnsi" w:cstheme="minorHAnsi"/>
          <w:sz w:val="22"/>
          <w:szCs w:val="22"/>
          <w:lang w:eastAsia="en-US"/>
        </w:rPr>
        <w:t>2022. godine</w:t>
      </w:r>
      <w:r w:rsidR="002962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</w:p>
    <w:p w14:paraId="791AE690" w14:textId="77777777" w:rsidR="00C97460" w:rsidRPr="008A09A6" w:rsidRDefault="00C97460" w:rsidP="005C06D0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7DACD3DA" w14:textId="71476A53" w:rsidR="00F62C21" w:rsidRPr="008A09A6" w:rsidRDefault="00E5485F" w:rsidP="00F62C21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A09A6">
        <w:rPr>
          <w:rFonts w:asciiTheme="minorHAnsi" w:hAnsiTheme="minorHAnsi" w:cstheme="minorHAnsi"/>
          <w:sz w:val="22"/>
          <w:szCs w:val="22"/>
          <w:lang w:eastAsia="hr-HR"/>
        </w:rPr>
        <w:lastRenderedPageBreak/>
        <w:t xml:space="preserve">Sukladno navedenom, </w:t>
      </w:r>
      <w:r w:rsidR="00F62C21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predlažem </w:t>
      </w:r>
      <w:r w:rsidR="00BE624A" w:rsidRPr="008A09A6">
        <w:rPr>
          <w:rFonts w:asciiTheme="minorHAnsi" w:hAnsiTheme="minorHAnsi" w:cstheme="minorHAnsi"/>
          <w:sz w:val="22"/>
          <w:szCs w:val="22"/>
          <w:lang w:eastAsia="hr-HR"/>
        </w:rPr>
        <w:t xml:space="preserve">Gradskom vijeću </w:t>
      </w:r>
      <w:r w:rsidR="00F62C21" w:rsidRPr="008A09A6">
        <w:rPr>
          <w:rFonts w:asciiTheme="minorHAnsi" w:hAnsiTheme="minorHAnsi" w:cstheme="minorHAnsi"/>
          <w:sz w:val="22"/>
          <w:szCs w:val="22"/>
          <w:lang w:eastAsia="hr-HR"/>
        </w:rPr>
        <w:t>donošenje zaključka o usvajanju ovog izvješća.</w:t>
      </w:r>
    </w:p>
    <w:p w14:paraId="678905D0" w14:textId="04D91245" w:rsidR="00E5485F" w:rsidRDefault="00E5485F" w:rsidP="00E5485F">
      <w:pPr>
        <w:suppressAutoHyphens w:val="0"/>
        <w:jc w:val="both"/>
        <w:rPr>
          <w:rStyle w:val="fontstyle01"/>
          <w:rFonts w:asciiTheme="minorHAnsi" w:eastAsiaTheme="majorEastAsia" w:hAnsiTheme="minorHAnsi" w:cstheme="minorHAnsi"/>
          <w:color w:val="auto"/>
          <w:sz w:val="22"/>
          <w:szCs w:val="22"/>
        </w:rPr>
      </w:pPr>
    </w:p>
    <w:p w14:paraId="169EA567" w14:textId="77777777" w:rsidR="00C97460" w:rsidRPr="008A09A6" w:rsidRDefault="00C97460" w:rsidP="00E5485F">
      <w:pPr>
        <w:suppressAutoHyphens w:val="0"/>
        <w:jc w:val="both"/>
        <w:rPr>
          <w:rStyle w:val="fontstyle01"/>
          <w:rFonts w:asciiTheme="minorHAnsi" w:eastAsiaTheme="majorEastAsia" w:hAnsiTheme="minorHAnsi" w:cstheme="minorHAnsi"/>
          <w:color w:val="auto"/>
          <w:sz w:val="22"/>
          <w:szCs w:val="22"/>
        </w:rPr>
      </w:pPr>
    </w:p>
    <w:p w14:paraId="3646B749" w14:textId="77777777" w:rsidR="00482EE2" w:rsidRPr="008A09A6" w:rsidRDefault="00E5485F" w:rsidP="00482EE2">
      <w:pPr>
        <w:tabs>
          <w:tab w:val="left" w:pos="5400"/>
        </w:tabs>
        <w:jc w:val="center"/>
        <w:rPr>
          <w:rFonts w:asciiTheme="minorHAnsi" w:eastAsia="Calibri" w:hAnsiTheme="minorHAnsi" w:cstheme="minorHAnsi"/>
          <w:kern w:val="1"/>
          <w:sz w:val="22"/>
          <w:szCs w:val="22"/>
          <w:lang w:bidi="hi-IN"/>
        </w:rPr>
      </w:pPr>
      <w:r w:rsidRPr="008A09A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="00482EE2" w:rsidRPr="008A09A6">
        <w:rPr>
          <w:rFonts w:asciiTheme="minorHAnsi" w:eastAsia="Calibri" w:hAnsiTheme="minorHAnsi" w:cstheme="minorHAnsi"/>
          <w:kern w:val="1"/>
          <w:sz w:val="22"/>
          <w:szCs w:val="22"/>
          <w:lang w:bidi="hi-IN"/>
        </w:rPr>
        <w:t>Gradonačelnik:</w:t>
      </w:r>
    </w:p>
    <w:p w14:paraId="51F231BA" w14:textId="77777777" w:rsidR="00482EE2" w:rsidRPr="008A09A6" w:rsidRDefault="00482EE2" w:rsidP="00482EE2">
      <w:pPr>
        <w:tabs>
          <w:tab w:val="left" w:pos="5400"/>
        </w:tabs>
        <w:jc w:val="center"/>
        <w:rPr>
          <w:rFonts w:asciiTheme="minorHAnsi" w:eastAsia="Calibri" w:hAnsiTheme="minorHAnsi" w:cstheme="minorHAnsi"/>
          <w:kern w:val="1"/>
          <w:sz w:val="22"/>
          <w:szCs w:val="22"/>
          <w:lang w:bidi="hi-IN"/>
        </w:rPr>
      </w:pPr>
    </w:p>
    <w:p w14:paraId="536A8DFA" w14:textId="465130D9" w:rsidR="00482EE2" w:rsidRPr="008A09A6" w:rsidRDefault="00482EE2" w:rsidP="00482EE2">
      <w:pPr>
        <w:tabs>
          <w:tab w:val="left" w:pos="540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eastAsia="Calibri" w:hAnsiTheme="minorHAnsi" w:cstheme="minorHAnsi"/>
          <w:kern w:val="1"/>
          <w:sz w:val="22"/>
          <w:szCs w:val="22"/>
          <w:lang w:bidi="hi-IN"/>
        </w:rPr>
        <w:t xml:space="preserve">                                                                                                  Dinko Pirak, prof.</w:t>
      </w:r>
      <w:r w:rsidR="004423F6">
        <w:rPr>
          <w:rFonts w:asciiTheme="minorHAnsi" w:eastAsia="Calibri" w:hAnsiTheme="minorHAnsi" w:cstheme="minorHAnsi"/>
          <w:kern w:val="1"/>
          <w:sz w:val="22"/>
          <w:szCs w:val="22"/>
          <w:lang w:bidi="hi-IN"/>
        </w:rPr>
        <w:t>, v.r.</w:t>
      </w:r>
    </w:p>
    <w:p w14:paraId="7BACB271" w14:textId="39D58EC1" w:rsidR="00E5485F" w:rsidRPr="008A09A6" w:rsidRDefault="00E5485F" w:rsidP="00482EE2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2B4699EE" w14:textId="77777777" w:rsidR="00E5485F" w:rsidRPr="008A09A6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4E8C031F" w14:textId="77777777" w:rsidR="00E5485F" w:rsidRPr="008A09A6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6C6096EC" w14:textId="77777777" w:rsidR="00E5485F" w:rsidRPr="008A09A6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508AD3B2" w14:textId="77777777" w:rsidR="00E5485F" w:rsidRPr="008A09A6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605F3352" w14:textId="5F3C2D11" w:rsidR="00E5485F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2299DE69" w14:textId="03F637F1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17CCCB35" w14:textId="269C5BA4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57745C92" w14:textId="26103D82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5814705A" w14:textId="23271B84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2E57633B" w14:textId="6986A4D3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6D6E1D0C" w14:textId="345D52DE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7B40CBB6" w14:textId="7FD406BD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04138A28" w14:textId="7CA7DFFE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4F490DB5" w14:textId="409FAB1A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4873CFD3" w14:textId="1DF8A127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664B244A" w14:textId="6BBC23E4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2BB9C915" w14:textId="1163E9CC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410CEF4E" w14:textId="28456605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096789C3" w14:textId="641CBD4D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3D972D68" w14:textId="6BB5C0FA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36B91AA0" w14:textId="763F43DD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741B6A05" w14:textId="5ABF4204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76548B8F" w14:textId="247AF3AC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1BE2D7BE" w14:textId="687B47B9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5C7B6AC8" w14:textId="05BC6E0D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28D691B6" w14:textId="4AA0B44E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1231EF3A" w14:textId="20B34436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184C91AE" w14:textId="4C7D6D51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02D7A39B" w14:textId="25AC295B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58BB5CCE" w14:textId="26E42607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19939032" w14:textId="4D0F83BD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673DBEA0" w14:textId="77777777" w:rsidR="00C97460" w:rsidRPr="008A09A6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3F40C9CC" w14:textId="77777777" w:rsidR="00E5485F" w:rsidRPr="008A09A6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338A7E5D" w14:textId="77777777" w:rsidR="00E5485F" w:rsidRPr="008A09A6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631E74CC" w14:textId="77777777" w:rsidR="00E5485F" w:rsidRPr="008A09A6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2273AD19" w14:textId="77777777" w:rsidR="00E5485F" w:rsidRPr="008A09A6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4AC45CA4" w14:textId="77777777" w:rsidR="00E5485F" w:rsidRPr="008A09A6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6A22E122" w14:textId="77777777" w:rsidR="00E5485F" w:rsidRPr="008A09A6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5723C239" w14:textId="77777777" w:rsidR="00E5485F" w:rsidRPr="008A09A6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11DEDBA1" w14:textId="77777777" w:rsidR="00E5485F" w:rsidRPr="008A09A6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2D9C5794" w14:textId="77777777" w:rsidR="00E5485F" w:rsidRPr="008A09A6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61D8830F" w14:textId="77777777" w:rsidR="00E5485F" w:rsidRPr="008A09A6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pPr w:leftFromText="180" w:rightFromText="180" w:vertAnchor="page" w:horzAnchor="page" w:tblpX="721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C97460" w:rsidRPr="008A09A6" w14:paraId="77EB495D" w14:textId="77777777" w:rsidTr="00C97460">
        <w:tc>
          <w:tcPr>
            <w:tcW w:w="4673" w:type="dxa"/>
          </w:tcPr>
          <w:p w14:paraId="78A3A8F0" w14:textId="77777777" w:rsidR="00C97460" w:rsidRPr="008A09A6" w:rsidRDefault="00C97460" w:rsidP="00C9746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A09A6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lastRenderedPageBreak/>
              <w:drawing>
                <wp:inline distT="0" distB="0" distL="0" distR="0" wp14:anchorId="186A725E" wp14:editId="46B2441C">
                  <wp:extent cx="342900" cy="412880"/>
                  <wp:effectExtent l="0" t="0" r="0" b="6350"/>
                  <wp:docPr id="3" name="Slika 3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16" cy="414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94EDA2" w14:textId="77777777" w:rsidR="00C97460" w:rsidRPr="008A09A6" w:rsidRDefault="00C97460" w:rsidP="00C9746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A09A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REPUBLIKA HRVATSKA</w:t>
            </w:r>
          </w:p>
          <w:p w14:paraId="216D2FCD" w14:textId="77777777" w:rsidR="00C97460" w:rsidRPr="008A09A6" w:rsidRDefault="00C97460" w:rsidP="00C9746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A09A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Bjelovarsko- bilogorska županija</w:t>
            </w:r>
          </w:p>
          <w:p w14:paraId="74CF9E0A" w14:textId="77777777" w:rsidR="00C97460" w:rsidRPr="008A09A6" w:rsidRDefault="00C97460" w:rsidP="00C97460">
            <w:pPr>
              <w:jc w:val="center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8A09A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Gradsko vijeće Grada Čazme</w:t>
            </w:r>
          </w:p>
          <w:p w14:paraId="5BEEEC47" w14:textId="77777777" w:rsidR="00C97460" w:rsidRPr="008A09A6" w:rsidRDefault="00C97460" w:rsidP="00C97460">
            <w:pPr>
              <w:ind w:right="4677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A28BC6D" w14:textId="3FEBB658" w:rsidR="00E5485F" w:rsidRDefault="00E5485F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50BF3572" w14:textId="52722A55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00CEE982" w14:textId="1CE0BF8D" w:rsidR="00C97460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752134D9" w14:textId="77777777" w:rsidR="00C97460" w:rsidRPr="008A09A6" w:rsidRDefault="00C97460" w:rsidP="00E5485F">
      <w:pPr>
        <w:tabs>
          <w:tab w:val="left" w:pos="5953"/>
        </w:tabs>
        <w:rPr>
          <w:rFonts w:asciiTheme="minorHAnsi" w:hAnsiTheme="minorHAnsi" w:cstheme="minorHAnsi"/>
          <w:sz w:val="22"/>
          <w:szCs w:val="22"/>
        </w:rPr>
      </w:pPr>
    </w:p>
    <w:p w14:paraId="3F3EAAA2" w14:textId="0496207E" w:rsidR="00E5485F" w:rsidRPr="008A09A6" w:rsidRDefault="00D519C0" w:rsidP="00C97460">
      <w:pPr>
        <w:tabs>
          <w:tab w:val="left" w:pos="5953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</w:p>
    <w:p w14:paraId="6224CE4F" w14:textId="610BCE75" w:rsidR="00E5485F" w:rsidRPr="008A09A6" w:rsidRDefault="00E5485F" w:rsidP="00E5485F">
      <w:pPr>
        <w:ind w:right="4677" w:firstLine="1"/>
        <w:contextualSpacing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5C0E0C72" w14:textId="751B6AB2" w:rsidR="00E5485F" w:rsidRPr="008A09A6" w:rsidRDefault="00E5485F" w:rsidP="00E5485F">
      <w:pPr>
        <w:contextualSpacing/>
        <w:rPr>
          <w:rFonts w:asciiTheme="minorHAnsi" w:hAnsiTheme="minorHAnsi" w:cstheme="minorHAnsi"/>
          <w:sz w:val="22"/>
          <w:szCs w:val="22"/>
          <w:lang w:val="pl-PL"/>
        </w:rPr>
      </w:pPr>
      <w:r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KLASA: </w:t>
      </w:r>
      <w:r w:rsidR="002F58BA" w:rsidRPr="008A09A6">
        <w:rPr>
          <w:rFonts w:asciiTheme="minorHAnsi" w:hAnsiTheme="minorHAnsi" w:cstheme="minorHAnsi"/>
          <w:sz w:val="22"/>
          <w:szCs w:val="22"/>
        </w:rPr>
        <w:t>920-02/</w:t>
      </w:r>
      <w:r w:rsidR="002F58BA">
        <w:rPr>
          <w:rFonts w:asciiTheme="minorHAnsi" w:hAnsiTheme="minorHAnsi" w:cstheme="minorHAnsi"/>
          <w:sz w:val="22"/>
          <w:szCs w:val="22"/>
        </w:rPr>
        <w:t>24</w:t>
      </w:r>
      <w:r w:rsidR="002F58BA" w:rsidRPr="008A09A6">
        <w:rPr>
          <w:rFonts w:asciiTheme="minorHAnsi" w:hAnsiTheme="minorHAnsi" w:cstheme="minorHAnsi"/>
          <w:sz w:val="22"/>
          <w:szCs w:val="22"/>
        </w:rPr>
        <w:t>-01/0</w:t>
      </w:r>
      <w:r w:rsidR="00C035D7">
        <w:rPr>
          <w:rFonts w:asciiTheme="minorHAnsi" w:hAnsiTheme="minorHAnsi" w:cstheme="minorHAnsi"/>
          <w:sz w:val="22"/>
          <w:szCs w:val="22"/>
        </w:rPr>
        <w:t>1</w:t>
      </w:r>
    </w:p>
    <w:p w14:paraId="220051B3" w14:textId="6EC9FEF5" w:rsidR="00E5485F" w:rsidRPr="008A09A6" w:rsidRDefault="00E5485F" w:rsidP="00E5485F">
      <w:pPr>
        <w:contextualSpacing/>
        <w:rPr>
          <w:rFonts w:asciiTheme="minorHAnsi" w:hAnsiTheme="minorHAnsi" w:cstheme="minorHAnsi"/>
          <w:sz w:val="22"/>
          <w:szCs w:val="22"/>
          <w:lang w:val="pl-PL"/>
        </w:rPr>
      </w:pPr>
      <w:r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URBROJ: </w:t>
      </w:r>
      <w:r w:rsidR="00CD74EC" w:rsidRPr="008A09A6">
        <w:rPr>
          <w:rFonts w:asciiTheme="minorHAnsi" w:hAnsiTheme="minorHAnsi" w:cstheme="minorHAnsi"/>
          <w:sz w:val="22"/>
          <w:szCs w:val="22"/>
          <w:lang w:val="pl-PL"/>
        </w:rPr>
        <w:t>2103-2-01/0</w:t>
      </w:r>
      <w:r w:rsidR="00B53540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CD74EC" w:rsidRPr="008A09A6">
        <w:rPr>
          <w:rFonts w:asciiTheme="minorHAnsi" w:hAnsiTheme="minorHAnsi" w:cstheme="minorHAnsi"/>
          <w:sz w:val="22"/>
          <w:szCs w:val="22"/>
          <w:lang w:val="pl-PL"/>
        </w:rPr>
        <w:t>-2</w:t>
      </w:r>
      <w:r w:rsidR="00F16139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CD74EC" w:rsidRPr="008A09A6"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BD0FFD">
        <w:rPr>
          <w:rFonts w:asciiTheme="minorHAnsi" w:hAnsiTheme="minorHAnsi" w:cstheme="minorHAnsi"/>
          <w:sz w:val="22"/>
          <w:szCs w:val="22"/>
          <w:lang w:val="pl-PL"/>
        </w:rPr>
        <w:t>2</w:t>
      </w:r>
    </w:p>
    <w:p w14:paraId="014B032B" w14:textId="58E35B9A" w:rsidR="00E5485F" w:rsidRPr="008A09A6" w:rsidRDefault="00D519C0" w:rsidP="00E5485F">
      <w:pPr>
        <w:contextualSpacing/>
        <w:rPr>
          <w:rFonts w:asciiTheme="minorHAnsi" w:hAnsiTheme="minorHAnsi" w:cstheme="minorHAnsi"/>
          <w:sz w:val="22"/>
          <w:szCs w:val="22"/>
          <w:lang w:val="pl-PL"/>
        </w:rPr>
      </w:pPr>
      <w:r w:rsidRPr="008A09A6">
        <w:rPr>
          <w:rFonts w:asciiTheme="minorHAnsi" w:hAnsiTheme="minorHAnsi" w:cstheme="minorHAnsi"/>
          <w:sz w:val="22"/>
          <w:szCs w:val="22"/>
          <w:lang w:val="pl-PL"/>
        </w:rPr>
        <w:t>Čazma,</w:t>
      </w:r>
      <w:r w:rsidR="002F58B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035D7">
        <w:rPr>
          <w:rFonts w:asciiTheme="minorHAnsi" w:hAnsiTheme="minorHAnsi" w:cstheme="minorHAnsi"/>
          <w:sz w:val="22"/>
          <w:szCs w:val="22"/>
          <w:lang w:val="pl-PL"/>
        </w:rPr>
        <w:t>12</w:t>
      </w:r>
      <w:r w:rsidR="002F58BA">
        <w:rPr>
          <w:rFonts w:asciiTheme="minorHAnsi" w:hAnsiTheme="minorHAnsi" w:cstheme="minorHAnsi"/>
          <w:sz w:val="22"/>
          <w:szCs w:val="22"/>
          <w:lang w:val="pl-PL"/>
        </w:rPr>
        <w:t>. travnja</w:t>
      </w:r>
      <w:r w:rsidR="003A1F73"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8A09A6">
        <w:rPr>
          <w:rFonts w:asciiTheme="minorHAnsi" w:hAnsiTheme="minorHAnsi" w:cstheme="minorHAnsi"/>
          <w:sz w:val="22"/>
          <w:szCs w:val="22"/>
          <w:lang w:val="pl-PL"/>
        </w:rPr>
        <w:t>202</w:t>
      </w:r>
      <w:r w:rsidR="00F16139">
        <w:rPr>
          <w:rFonts w:asciiTheme="minorHAnsi" w:hAnsiTheme="minorHAnsi" w:cstheme="minorHAnsi"/>
          <w:sz w:val="22"/>
          <w:szCs w:val="22"/>
          <w:lang w:val="pl-PL"/>
        </w:rPr>
        <w:t>4</w:t>
      </w:r>
      <w:r w:rsidRPr="008A09A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35C53282" w14:textId="77777777" w:rsidR="00E5485F" w:rsidRPr="008A09A6" w:rsidRDefault="00E5485F" w:rsidP="00E5485F">
      <w:pPr>
        <w:contextualSpacing/>
        <w:rPr>
          <w:rFonts w:asciiTheme="minorHAnsi" w:hAnsiTheme="minorHAnsi" w:cstheme="minorHAnsi"/>
          <w:sz w:val="22"/>
          <w:szCs w:val="22"/>
          <w:lang w:val="pl-PL"/>
        </w:rPr>
      </w:pPr>
    </w:p>
    <w:p w14:paraId="692F6D4E" w14:textId="77777777" w:rsidR="00E5485F" w:rsidRPr="008A09A6" w:rsidRDefault="00E5485F" w:rsidP="00E5485F">
      <w:pPr>
        <w:contextualSpacing/>
        <w:rPr>
          <w:rFonts w:asciiTheme="minorHAnsi" w:hAnsiTheme="minorHAnsi" w:cstheme="minorHAnsi"/>
          <w:sz w:val="22"/>
          <w:szCs w:val="22"/>
          <w:lang w:val="pl-PL"/>
        </w:rPr>
      </w:pPr>
    </w:p>
    <w:p w14:paraId="5B814AF6" w14:textId="41FAC37F" w:rsidR="00E5485F" w:rsidRPr="008A09A6" w:rsidRDefault="00E5485F" w:rsidP="00E5485F">
      <w:pPr>
        <w:ind w:firstLine="708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Na temelju </w:t>
      </w:r>
      <w:r w:rsidRPr="008A09A6">
        <w:rPr>
          <w:rFonts w:asciiTheme="minorHAnsi" w:hAnsiTheme="minorHAnsi" w:cstheme="minorHAnsi"/>
          <w:sz w:val="22"/>
          <w:szCs w:val="22"/>
          <w:lang w:eastAsia="hr-HR"/>
        </w:rPr>
        <w:t>članka 17.  Zakona o ublažavanju i uklanjanju posljedica prirodnih nepogoda („Narodne novine“ broj: 16/19)</w:t>
      </w:r>
      <w:r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 i članka</w:t>
      </w:r>
      <w:r w:rsidR="00B3590B"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  34</w:t>
      </w:r>
      <w:r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. Statuta </w:t>
      </w:r>
      <w:r w:rsidR="00D519C0"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 Grada Čazme </w:t>
      </w:r>
      <w:r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 („Službeni  </w:t>
      </w:r>
      <w:r w:rsidR="00D519C0"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vjesnik Grada Čazme </w:t>
      </w:r>
      <w:r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” broj </w:t>
      </w:r>
      <w:r w:rsidR="00B56B3B">
        <w:rPr>
          <w:rFonts w:asciiTheme="minorHAnsi" w:hAnsiTheme="minorHAnsi" w:cstheme="minorHAnsi"/>
          <w:sz w:val="22"/>
          <w:szCs w:val="22"/>
          <w:lang w:val="pl-PL"/>
        </w:rPr>
        <w:t>13/21</w:t>
      </w:r>
      <w:r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)  </w:t>
      </w:r>
      <w:r w:rsidR="00D519C0"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gradsko vijeće Grada Čazme </w:t>
      </w:r>
      <w:r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na svojoj </w:t>
      </w:r>
      <w:r w:rsidR="00C035D7">
        <w:rPr>
          <w:rFonts w:asciiTheme="minorHAnsi" w:hAnsiTheme="minorHAnsi" w:cstheme="minorHAnsi"/>
          <w:sz w:val="22"/>
          <w:szCs w:val="22"/>
          <w:lang w:val="pl-PL"/>
        </w:rPr>
        <w:t>19.</w:t>
      </w:r>
      <w:r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 sjednici održanoj dana </w:t>
      </w:r>
      <w:r w:rsidR="00C035D7">
        <w:rPr>
          <w:rFonts w:asciiTheme="minorHAnsi" w:hAnsiTheme="minorHAnsi" w:cstheme="minorHAnsi"/>
          <w:sz w:val="22"/>
          <w:szCs w:val="22"/>
          <w:lang w:val="pl-PL"/>
        </w:rPr>
        <w:t>12</w:t>
      </w:r>
      <w:r w:rsidR="002F58BA">
        <w:rPr>
          <w:rFonts w:asciiTheme="minorHAnsi" w:hAnsiTheme="minorHAnsi" w:cstheme="minorHAnsi"/>
          <w:sz w:val="22"/>
          <w:szCs w:val="22"/>
          <w:lang w:val="pl-PL"/>
        </w:rPr>
        <w:t>. travnja 2024.</w:t>
      </w:r>
      <w:r w:rsidR="004423F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8A09A6">
        <w:rPr>
          <w:rFonts w:asciiTheme="minorHAnsi" w:hAnsiTheme="minorHAnsi" w:cstheme="minorHAnsi"/>
          <w:sz w:val="22"/>
          <w:szCs w:val="22"/>
          <w:lang w:val="pl-PL"/>
        </w:rPr>
        <w:t xml:space="preserve">godine  donijelo je </w:t>
      </w:r>
    </w:p>
    <w:p w14:paraId="0A25A25A" w14:textId="77777777" w:rsidR="00E5485F" w:rsidRPr="008A09A6" w:rsidRDefault="00E5485F" w:rsidP="00E5485F">
      <w:pPr>
        <w:pStyle w:val="Popis"/>
        <w:widowControl/>
        <w:suppressAutoHyphens w:val="0"/>
        <w:spacing w:after="0"/>
        <w:rPr>
          <w:rFonts w:asciiTheme="minorHAnsi" w:eastAsia="Times New Roman" w:hAnsiTheme="minorHAnsi" w:cstheme="minorHAnsi"/>
          <w:sz w:val="22"/>
          <w:szCs w:val="22"/>
        </w:rPr>
      </w:pPr>
    </w:p>
    <w:p w14:paraId="60D20825" w14:textId="77777777" w:rsidR="00E5485F" w:rsidRPr="008A09A6" w:rsidRDefault="00E5485F" w:rsidP="00E5485F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535412924"/>
      <w:r w:rsidRPr="008A09A6">
        <w:rPr>
          <w:rFonts w:asciiTheme="minorHAnsi" w:hAnsiTheme="minorHAnsi" w:cstheme="minorHAnsi"/>
          <w:sz w:val="22"/>
          <w:szCs w:val="22"/>
        </w:rPr>
        <w:t>ZAKLJUČAK</w:t>
      </w:r>
    </w:p>
    <w:p w14:paraId="748F6F25" w14:textId="77777777" w:rsidR="00E5485F" w:rsidRPr="008A09A6" w:rsidRDefault="00E5485F" w:rsidP="00E5485F">
      <w:pPr>
        <w:jc w:val="center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>O USVAJANJU</w:t>
      </w:r>
      <w:bookmarkEnd w:id="0"/>
      <w:r w:rsidRPr="008A09A6">
        <w:rPr>
          <w:rFonts w:asciiTheme="minorHAnsi" w:hAnsiTheme="minorHAnsi" w:cstheme="minorHAnsi"/>
          <w:sz w:val="22"/>
          <w:szCs w:val="22"/>
        </w:rPr>
        <w:t xml:space="preserve"> </w:t>
      </w:r>
      <w:r w:rsidRPr="008A09A6">
        <w:rPr>
          <w:rFonts w:asciiTheme="minorHAnsi" w:hAnsiTheme="minorHAnsi" w:cstheme="minorHAnsi"/>
          <w:bCs/>
          <w:sz w:val="22"/>
          <w:szCs w:val="22"/>
        </w:rPr>
        <w:t>IZVJEŠĆA O IZVRŠENJU PLANA DJELOVANJA</w:t>
      </w:r>
    </w:p>
    <w:p w14:paraId="3DA7DA60" w14:textId="05C8FE68" w:rsidR="00E5485F" w:rsidRPr="008A09A6" w:rsidRDefault="00E5485F" w:rsidP="00E5485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A09A6">
        <w:rPr>
          <w:rFonts w:asciiTheme="minorHAnsi" w:hAnsiTheme="minorHAnsi" w:cstheme="minorHAnsi"/>
          <w:bCs/>
          <w:sz w:val="22"/>
          <w:szCs w:val="22"/>
        </w:rPr>
        <w:t>U PODRUČJU PRIRODNIH NEPOGODA ZA 20</w:t>
      </w:r>
      <w:r w:rsidR="00D519C0" w:rsidRPr="008A09A6">
        <w:rPr>
          <w:rFonts w:asciiTheme="minorHAnsi" w:hAnsiTheme="minorHAnsi" w:cstheme="minorHAnsi"/>
          <w:bCs/>
          <w:sz w:val="22"/>
          <w:szCs w:val="22"/>
        </w:rPr>
        <w:t>2</w:t>
      </w:r>
      <w:r w:rsidR="00F16139">
        <w:rPr>
          <w:rFonts w:asciiTheme="minorHAnsi" w:hAnsiTheme="minorHAnsi" w:cstheme="minorHAnsi"/>
          <w:bCs/>
          <w:sz w:val="22"/>
          <w:szCs w:val="22"/>
        </w:rPr>
        <w:t>3</w:t>
      </w:r>
      <w:r w:rsidRPr="008A09A6">
        <w:rPr>
          <w:rFonts w:asciiTheme="minorHAnsi" w:hAnsiTheme="minorHAnsi" w:cstheme="minorHAnsi"/>
          <w:bCs/>
          <w:sz w:val="22"/>
          <w:szCs w:val="22"/>
        </w:rPr>
        <w:t>. GODINU</w:t>
      </w:r>
    </w:p>
    <w:p w14:paraId="6B715922" w14:textId="0825601C" w:rsidR="00E5485F" w:rsidRPr="008A09A6" w:rsidRDefault="00E5485F" w:rsidP="00E5485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E4C760" w14:textId="77777777" w:rsidR="00B3590B" w:rsidRPr="008A09A6" w:rsidRDefault="00B3590B" w:rsidP="00E5485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422001" w14:textId="1C43D4CC" w:rsidR="00B3590B" w:rsidRPr="008A09A6" w:rsidRDefault="00B3590B" w:rsidP="00B3590B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>Usvaja se izvješće o izvršenju plana djelovanja u području prirodnih nepogoda za 202</w:t>
      </w:r>
      <w:r w:rsidR="00F16139">
        <w:rPr>
          <w:rFonts w:asciiTheme="minorHAnsi" w:hAnsiTheme="minorHAnsi" w:cstheme="minorHAnsi"/>
          <w:sz w:val="22"/>
          <w:szCs w:val="22"/>
        </w:rPr>
        <w:t>3</w:t>
      </w:r>
      <w:r w:rsidRPr="008A09A6">
        <w:rPr>
          <w:rFonts w:asciiTheme="minorHAnsi" w:hAnsiTheme="minorHAnsi" w:cstheme="minorHAnsi"/>
          <w:sz w:val="22"/>
          <w:szCs w:val="22"/>
        </w:rPr>
        <w:t xml:space="preserve">. godinu, </w:t>
      </w:r>
      <w:r w:rsidR="00F16139" w:rsidRPr="008A09A6">
        <w:rPr>
          <w:rFonts w:asciiTheme="minorHAnsi" w:hAnsiTheme="minorHAnsi" w:cstheme="minorHAnsi"/>
          <w:sz w:val="22"/>
          <w:szCs w:val="22"/>
        </w:rPr>
        <w:t>920-02/</w:t>
      </w:r>
      <w:r w:rsidR="00F16139">
        <w:rPr>
          <w:rFonts w:asciiTheme="minorHAnsi" w:hAnsiTheme="minorHAnsi" w:cstheme="minorHAnsi"/>
          <w:sz w:val="22"/>
          <w:szCs w:val="22"/>
        </w:rPr>
        <w:t>24</w:t>
      </w:r>
      <w:r w:rsidR="00F16139" w:rsidRPr="008A09A6">
        <w:rPr>
          <w:rFonts w:asciiTheme="minorHAnsi" w:hAnsiTheme="minorHAnsi" w:cstheme="minorHAnsi"/>
          <w:sz w:val="22"/>
          <w:szCs w:val="22"/>
        </w:rPr>
        <w:t>-01/0</w:t>
      </w:r>
      <w:r w:rsidR="00C035D7">
        <w:rPr>
          <w:rFonts w:asciiTheme="minorHAnsi" w:hAnsiTheme="minorHAnsi" w:cstheme="minorHAnsi"/>
          <w:sz w:val="22"/>
          <w:szCs w:val="22"/>
        </w:rPr>
        <w:t>1</w:t>
      </w:r>
      <w:r w:rsidRPr="008A09A6">
        <w:rPr>
          <w:rFonts w:asciiTheme="minorHAnsi" w:hAnsiTheme="minorHAnsi" w:cstheme="minorHAnsi"/>
          <w:sz w:val="22"/>
          <w:szCs w:val="22"/>
        </w:rPr>
        <w:t xml:space="preserve">, URBROJ: </w:t>
      </w:r>
      <w:r w:rsidR="00F16139" w:rsidRPr="008A09A6">
        <w:rPr>
          <w:rFonts w:asciiTheme="minorHAnsi" w:hAnsiTheme="minorHAnsi" w:cstheme="minorHAnsi"/>
          <w:sz w:val="22"/>
          <w:szCs w:val="22"/>
        </w:rPr>
        <w:t>2103-2-0</w:t>
      </w:r>
      <w:r w:rsidR="00F16139">
        <w:rPr>
          <w:rFonts w:asciiTheme="minorHAnsi" w:hAnsiTheme="minorHAnsi" w:cstheme="minorHAnsi"/>
          <w:sz w:val="22"/>
          <w:szCs w:val="22"/>
        </w:rPr>
        <w:t>4</w:t>
      </w:r>
      <w:r w:rsidR="00F16139" w:rsidRPr="008A09A6">
        <w:rPr>
          <w:rFonts w:asciiTheme="minorHAnsi" w:hAnsiTheme="minorHAnsi" w:cstheme="minorHAnsi"/>
          <w:sz w:val="22"/>
          <w:szCs w:val="22"/>
        </w:rPr>
        <w:t>/0</w:t>
      </w:r>
      <w:r w:rsidR="00F16139">
        <w:rPr>
          <w:rFonts w:asciiTheme="minorHAnsi" w:hAnsiTheme="minorHAnsi" w:cstheme="minorHAnsi"/>
          <w:sz w:val="22"/>
          <w:szCs w:val="22"/>
        </w:rPr>
        <w:t>1</w:t>
      </w:r>
      <w:r w:rsidR="00F16139" w:rsidRPr="008A09A6">
        <w:rPr>
          <w:rFonts w:asciiTheme="minorHAnsi" w:hAnsiTheme="minorHAnsi" w:cstheme="minorHAnsi"/>
          <w:sz w:val="22"/>
          <w:szCs w:val="22"/>
        </w:rPr>
        <w:t>-2</w:t>
      </w:r>
      <w:r w:rsidR="00F16139">
        <w:rPr>
          <w:rFonts w:asciiTheme="minorHAnsi" w:hAnsiTheme="minorHAnsi" w:cstheme="minorHAnsi"/>
          <w:sz w:val="22"/>
          <w:szCs w:val="22"/>
        </w:rPr>
        <w:t>4</w:t>
      </w:r>
      <w:r w:rsidR="00F16139" w:rsidRPr="008A09A6">
        <w:rPr>
          <w:rFonts w:asciiTheme="minorHAnsi" w:hAnsiTheme="minorHAnsi" w:cstheme="minorHAnsi"/>
          <w:sz w:val="22"/>
          <w:szCs w:val="22"/>
        </w:rPr>
        <w:t>-</w:t>
      </w:r>
      <w:r w:rsidR="00F16139">
        <w:rPr>
          <w:rFonts w:asciiTheme="minorHAnsi" w:hAnsiTheme="minorHAnsi" w:cstheme="minorHAnsi"/>
          <w:sz w:val="22"/>
          <w:szCs w:val="22"/>
        </w:rPr>
        <w:t xml:space="preserve">1 </w:t>
      </w:r>
      <w:r w:rsidRPr="008A09A6">
        <w:rPr>
          <w:rFonts w:asciiTheme="minorHAnsi" w:hAnsiTheme="minorHAnsi" w:cstheme="minorHAnsi"/>
          <w:sz w:val="22"/>
          <w:szCs w:val="22"/>
        </w:rPr>
        <w:t xml:space="preserve">od  </w:t>
      </w:r>
      <w:r w:rsidR="00F16139">
        <w:rPr>
          <w:rFonts w:asciiTheme="minorHAnsi" w:hAnsiTheme="minorHAnsi" w:cstheme="minorHAnsi"/>
          <w:sz w:val="22"/>
          <w:szCs w:val="22"/>
        </w:rPr>
        <w:t>12</w:t>
      </w:r>
      <w:r w:rsidRPr="008A09A6">
        <w:rPr>
          <w:rFonts w:asciiTheme="minorHAnsi" w:hAnsiTheme="minorHAnsi" w:cstheme="minorHAnsi"/>
          <w:sz w:val="22"/>
          <w:szCs w:val="22"/>
        </w:rPr>
        <w:t>.</w:t>
      </w:r>
      <w:r w:rsidR="00F16139">
        <w:rPr>
          <w:rFonts w:asciiTheme="minorHAnsi" w:hAnsiTheme="minorHAnsi" w:cstheme="minorHAnsi"/>
          <w:sz w:val="22"/>
          <w:szCs w:val="22"/>
        </w:rPr>
        <w:t xml:space="preserve"> travnja </w:t>
      </w:r>
      <w:r w:rsidRPr="008A09A6">
        <w:rPr>
          <w:rFonts w:asciiTheme="minorHAnsi" w:hAnsiTheme="minorHAnsi" w:cstheme="minorHAnsi"/>
          <w:sz w:val="22"/>
          <w:szCs w:val="22"/>
        </w:rPr>
        <w:t>202</w:t>
      </w:r>
      <w:r w:rsidR="00F16139">
        <w:rPr>
          <w:rFonts w:asciiTheme="minorHAnsi" w:hAnsiTheme="minorHAnsi" w:cstheme="minorHAnsi"/>
          <w:sz w:val="22"/>
          <w:szCs w:val="22"/>
        </w:rPr>
        <w:t>4</w:t>
      </w:r>
      <w:r w:rsidRPr="008A09A6">
        <w:rPr>
          <w:rFonts w:asciiTheme="minorHAnsi" w:hAnsiTheme="minorHAnsi" w:cstheme="minorHAnsi"/>
          <w:sz w:val="22"/>
          <w:szCs w:val="22"/>
        </w:rPr>
        <w:t>.</w:t>
      </w:r>
    </w:p>
    <w:p w14:paraId="2CE3E298" w14:textId="77777777" w:rsidR="00E5485F" w:rsidRPr="008A09A6" w:rsidRDefault="00E5485F" w:rsidP="00E5485F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3D78BC7B" w14:textId="77777777" w:rsidR="00E5485F" w:rsidRPr="008A09A6" w:rsidRDefault="00E5485F" w:rsidP="00E5485F">
      <w:pPr>
        <w:pStyle w:val="Odlomakpopisa"/>
        <w:widowControl w:val="0"/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>Izvješće iz točke 1 ovog Zaključka prilaže se ovom zaključku i njegov je sastavni dio.</w:t>
      </w:r>
    </w:p>
    <w:p w14:paraId="5BE39DAA" w14:textId="77777777" w:rsidR="00E5485F" w:rsidRPr="008A09A6" w:rsidRDefault="00E5485F" w:rsidP="00E5485F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14:paraId="46245A93" w14:textId="77777777" w:rsidR="00E5485F" w:rsidRPr="008A09A6" w:rsidRDefault="00E5485F" w:rsidP="00E5485F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32780AF5" w14:textId="58FC81C4" w:rsidR="00E5485F" w:rsidRPr="008A09A6" w:rsidRDefault="00E5485F" w:rsidP="00E5485F">
      <w:pPr>
        <w:pStyle w:val="Odlomakpopisa"/>
        <w:widowControl w:val="0"/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>Ovaj zaključak stupa na snagu danom donošenja, a objaviti će se u „</w:t>
      </w:r>
      <w:r w:rsidR="00D519C0" w:rsidRPr="008A09A6">
        <w:rPr>
          <w:rFonts w:asciiTheme="minorHAnsi" w:hAnsiTheme="minorHAnsi" w:cstheme="minorHAnsi"/>
          <w:sz w:val="22"/>
          <w:szCs w:val="22"/>
        </w:rPr>
        <w:t>Službenom vjesniku Grada Čazme''</w:t>
      </w:r>
    </w:p>
    <w:p w14:paraId="42491D44" w14:textId="77777777" w:rsidR="00E5485F" w:rsidRPr="008A09A6" w:rsidRDefault="00E5485F" w:rsidP="00E5485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9F47F64" w14:textId="77777777" w:rsidR="00E5485F" w:rsidRPr="008A09A6" w:rsidRDefault="00E5485F" w:rsidP="00E5485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C7CFF6" w14:textId="77777777" w:rsidR="00E5485F" w:rsidRPr="008A09A6" w:rsidRDefault="00E5485F" w:rsidP="00E5485F">
      <w:pPr>
        <w:widowControl w:val="0"/>
        <w:tabs>
          <w:tab w:val="left" w:pos="583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09A6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Reetkatablice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E5485F" w:rsidRPr="008A09A6" w14:paraId="4D92585D" w14:textId="77777777" w:rsidTr="00455C22">
        <w:tc>
          <w:tcPr>
            <w:tcW w:w="5239" w:type="dxa"/>
          </w:tcPr>
          <w:p w14:paraId="2381BF6D" w14:textId="57AA2B0B" w:rsidR="00E5485F" w:rsidRPr="008A09A6" w:rsidRDefault="00E5485F" w:rsidP="00455C22">
            <w:pPr>
              <w:widowControl w:val="0"/>
              <w:tabs>
                <w:tab w:val="left" w:pos="5835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A09A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PREDSJEDNIK </w:t>
            </w:r>
            <w:r w:rsidR="00482EE2" w:rsidRPr="008A09A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GRADSKOG </w:t>
            </w:r>
            <w:r w:rsidRPr="008A09A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VIJEĆA</w:t>
            </w:r>
          </w:p>
          <w:p w14:paraId="43996EC5" w14:textId="143BD900" w:rsidR="00E5485F" w:rsidRPr="008A09A6" w:rsidRDefault="00482EE2" w:rsidP="00455C22">
            <w:pPr>
              <w:widowControl w:val="0"/>
              <w:tabs>
                <w:tab w:val="left" w:pos="5835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A09A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GRADA ČAZME:</w:t>
            </w:r>
          </w:p>
          <w:p w14:paraId="703B61EA" w14:textId="77777777" w:rsidR="00E5485F" w:rsidRPr="008A09A6" w:rsidRDefault="00E5485F" w:rsidP="00455C22">
            <w:pPr>
              <w:widowControl w:val="0"/>
              <w:tabs>
                <w:tab w:val="left" w:pos="5835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2C32FC9" w14:textId="20BF153B" w:rsidR="00B3590B" w:rsidRPr="008A09A6" w:rsidRDefault="00B3590B" w:rsidP="00B35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9A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       </w:t>
            </w:r>
            <w:r w:rsidR="004423F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</w:t>
            </w:r>
            <w:r w:rsidRPr="008A09A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</w:t>
            </w:r>
            <w:r w:rsidR="00482EE2" w:rsidRPr="008A09A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Branko Novković</w:t>
            </w:r>
            <w:r w:rsidR="003F3C5E" w:rsidRPr="008A09A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, </w:t>
            </w:r>
            <w:r w:rsidRPr="008A09A6">
              <w:rPr>
                <w:rFonts w:asciiTheme="minorHAnsi" w:hAnsiTheme="minorHAnsi" w:cstheme="minorHAnsi"/>
                <w:sz w:val="22"/>
                <w:szCs w:val="22"/>
              </w:rPr>
              <w:t>mag.med.techn.</w:t>
            </w:r>
          </w:p>
          <w:p w14:paraId="312852DB" w14:textId="750D1E23" w:rsidR="00E5485F" w:rsidRPr="008A09A6" w:rsidRDefault="00E5485F" w:rsidP="00455C22">
            <w:pPr>
              <w:widowControl w:val="0"/>
              <w:tabs>
                <w:tab w:val="left" w:pos="5835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2FF7758" w14:textId="77777777" w:rsidR="00E5485F" w:rsidRPr="008A09A6" w:rsidRDefault="00E5485F" w:rsidP="00455C22">
            <w:pPr>
              <w:widowControl w:val="0"/>
              <w:tabs>
                <w:tab w:val="left" w:pos="583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54C91F" w14:textId="77777777" w:rsidR="00E5485F" w:rsidRPr="008A09A6" w:rsidRDefault="00E5485F" w:rsidP="00E5485F">
      <w:pPr>
        <w:widowControl w:val="0"/>
        <w:tabs>
          <w:tab w:val="left" w:pos="583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9B45BDE" w14:textId="77777777" w:rsidR="00E5485F" w:rsidRPr="008A09A6" w:rsidRDefault="00E5485F" w:rsidP="00E5485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E5485F" w:rsidRPr="008A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4976"/>
    <w:multiLevelType w:val="hybridMultilevel"/>
    <w:tmpl w:val="35880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2EFB111A"/>
    <w:multiLevelType w:val="hybridMultilevel"/>
    <w:tmpl w:val="8FF068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30EB4"/>
    <w:multiLevelType w:val="hybridMultilevel"/>
    <w:tmpl w:val="147091D8"/>
    <w:lvl w:ilvl="0" w:tplc="B1E2D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40F60"/>
    <w:multiLevelType w:val="hybridMultilevel"/>
    <w:tmpl w:val="6EAE9588"/>
    <w:lvl w:ilvl="0" w:tplc="0F9E9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511368">
    <w:abstractNumId w:val="1"/>
  </w:num>
  <w:num w:numId="2" w16cid:durableId="1861892763">
    <w:abstractNumId w:val="3"/>
  </w:num>
  <w:num w:numId="3" w16cid:durableId="1635989444">
    <w:abstractNumId w:val="0"/>
  </w:num>
  <w:num w:numId="4" w16cid:durableId="1775054621">
    <w:abstractNumId w:val="2"/>
  </w:num>
  <w:num w:numId="5" w16cid:durableId="933633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FC"/>
    <w:rsid w:val="00051B34"/>
    <w:rsid w:val="00220C52"/>
    <w:rsid w:val="00230484"/>
    <w:rsid w:val="002406B3"/>
    <w:rsid w:val="00267E8B"/>
    <w:rsid w:val="0029621B"/>
    <w:rsid w:val="002F58BA"/>
    <w:rsid w:val="003359B2"/>
    <w:rsid w:val="003A1F73"/>
    <w:rsid w:val="003C7742"/>
    <w:rsid w:val="003E66A4"/>
    <w:rsid w:val="003F3C5E"/>
    <w:rsid w:val="00402033"/>
    <w:rsid w:val="00430317"/>
    <w:rsid w:val="00434A22"/>
    <w:rsid w:val="00435512"/>
    <w:rsid w:val="004423F6"/>
    <w:rsid w:val="00482EE2"/>
    <w:rsid w:val="004B4FF9"/>
    <w:rsid w:val="004D4274"/>
    <w:rsid w:val="005646D4"/>
    <w:rsid w:val="00566FB0"/>
    <w:rsid w:val="005C06D0"/>
    <w:rsid w:val="006B4F5F"/>
    <w:rsid w:val="00713B9B"/>
    <w:rsid w:val="007E28F5"/>
    <w:rsid w:val="00804C77"/>
    <w:rsid w:val="008251B0"/>
    <w:rsid w:val="008A09A6"/>
    <w:rsid w:val="008D79FD"/>
    <w:rsid w:val="008E217B"/>
    <w:rsid w:val="00945A6D"/>
    <w:rsid w:val="00963529"/>
    <w:rsid w:val="009B3E77"/>
    <w:rsid w:val="009D1249"/>
    <w:rsid w:val="009E4933"/>
    <w:rsid w:val="00A72DFA"/>
    <w:rsid w:val="00AA7AED"/>
    <w:rsid w:val="00AB2E37"/>
    <w:rsid w:val="00AF09FC"/>
    <w:rsid w:val="00B3590B"/>
    <w:rsid w:val="00B53540"/>
    <w:rsid w:val="00B56B3B"/>
    <w:rsid w:val="00B7515E"/>
    <w:rsid w:val="00BD0FFD"/>
    <w:rsid w:val="00BE624A"/>
    <w:rsid w:val="00C035D7"/>
    <w:rsid w:val="00C40273"/>
    <w:rsid w:val="00C6021C"/>
    <w:rsid w:val="00C81435"/>
    <w:rsid w:val="00C97460"/>
    <w:rsid w:val="00CA1B87"/>
    <w:rsid w:val="00CD74EC"/>
    <w:rsid w:val="00CF5ED2"/>
    <w:rsid w:val="00D11597"/>
    <w:rsid w:val="00D45002"/>
    <w:rsid w:val="00D519C0"/>
    <w:rsid w:val="00DF1470"/>
    <w:rsid w:val="00E5485F"/>
    <w:rsid w:val="00E9492B"/>
    <w:rsid w:val="00F16139"/>
    <w:rsid w:val="00F62173"/>
    <w:rsid w:val="00F6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A24D"/>
  <w15:chartTrackingRefBased/>
  <w15:docId w15:val="{EE92534C-9D12-4939-BBFB-E067C3E1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E548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E5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opsomming 1,2,3 *-,Heading 12,naslov 1"/>
    <w:basedOn w:val="Normal"/>
    <w:link w:val="OdlomakpopisaChar"/>
    <w:uiPriority w:val="34"/>
    <w:qFormat/>
    <w:rsid w:val="00E5485F"/>
    <w:pPr>
      <w:suppressAutoHyphens w:val="0"/>
      <w:ind w:left="720"/>
      <w:contextualSpacing/>
    </w:pPr>
    <w:rPr>
      <w:lang w:eastAsia="hr-HR"/>
    </w:rPr>
  </w:style>
  <w:style w:type="paragraph" w:styleId="Popis">
    <w:name w:val="List"/>
    <w:basedOn w:val="Normal"/>
    <w:semiHidden/>
    <w:unhideWhenUsed/>
    <w:rsid w:val="00E5485F"/>
    <w:pPr>
      <w:widowControl w:val="0"/>
      <w:spacing w:after="120"/>
    </w:pPr>
    <w:rPr>
      <w:rFonts w:eastAsia="Lucida Sans Unicode" w:cs="Tahoma"/>
      <w:lang w:eastAsia="hr-HR"/>
    </w:rPr>
  </w:style>
  <w:style w:type="character" w:customStyle="1" w:styleId="OdlomakpopisaChar">
    <w:name w:val="Odlomak popisa Char"/>
    <w:aliases w:val="opsomming 1 Char,2 Char,3 *- Char,Heading 12 Char,naslov 1 Char"/>
    <w:basedOn w:val="Zadanifontodlomka"/>
    <w:link w:val="Odlomakpopisa"/>
    <w:uiPriority w:val="34"/>
    <w:rsid w:val="008A09A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Mario Ivanović</cp:lastModifiedBy>
  <cp:revision>9</cp:revision>
  <cp:lastPrinted>2022-02-16T08:41:00Z</cp:lastPrinted>
  <dcterms:created xsi:type="dcterms:W3CDTF">2024-04-05T11:11:00Z</dcterms:created>
  <dcterms:modified xsi:type="dcterms:W3CDTF">2024-04-18T10:55:00Z</dcterms:modified>
</cp:coreProperties>
</file>